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52B4F" w14:textId="6A7551A0" w:rsidR="00A15CAF" w:rsidRPr="0040251F" w:rsidRDefault="001A7005" w:rsidP="0040251F">
      <w:pPr>
        <w:spacing w:after="120" w:line="276" w:lineRule="auto"/>
        <w:jc w:val="center"/>
        <w:rPr>
          <w:rFonts w:asciiTheme="majorBidi" w:hAnsiTheme="majorBidi" w:cstheme="majorBidi"/>
          <w:b/>
          <w:bCs/>
          <w:color w:val="000000" w:themeColor="text1"/>
        </w:rPr>
      </w:pPr>
      <w:r w:rsidRPr="0040251F">
        <w:rPr>
          <w:rFonts w:asciiTheme="majorBidi" w:hAnsiTheme="majorBidi" w:cstheme="majorBidi"/>
          <w:b/>
          <w:bCs/>
          <w:color w:val="000000" w:themeColor="text1"/>
        </w:rPr>
        <w:t>Impact of Urbanization o</w:t>
      </w:r>
      <w:r w:rsidR="00F02FEB" w:rsidRPr="0040251F">
        <w:rPr>
          <w:rFonts w:asciiTheme="majorBidi" w:hAnsiTheme="majorBidi" w:cstheme="majorBidi"/>
          <w:b/>
          <w:bCs/>
          <w:color w:val="000000" w:themeColor="text1"/>
        </w:rPr>
        <w:t>n</w:t>
      </w:r>
      <w:r w:rsidRPr="0040251F">
        <w:rPr>
          <w:rFonts w:asciiTheme="majorBidi" w:hAnsiTheme="majorBidi" w:cstheme="majorBidi"/>
          <w:b/>
          <w:bCs/>
          <w:color w:val="000000" w:themeColor="text1"/>
        </w:rPr>
        <w:t xml:space="preserve"> Groundwater Quality: A Geospatial Machine Learning Approach</w:t>
      </w:r>
    </w:p>
    <w:p w14:paraId="59C52EE4" w14:textId="77777777" w:rsidR="00C24948" w:rsidRPr="0040251F" w:rsidRDefault="00C24948" w:rsidP="0040251F">
      <w:pPr>
        <w:spacing w:after="120" w:line="276" w:lineRule="auto"/>
        <w:jc w:val="center"/>
        <w:rPr>
          <w:rFonts w:asciiTheme="majorBidi" w:hAnsiTheme="majorBidi" w:cstheme="majorBidi"/>
          <w:color w:val="000000" w:themeColor="text1"/>
        </w:rPr>
      </w:pPr>
    </w:p>
    <w:p w14:paraId="6981E4D7" w14:textId="52568EE2" w:rsidR="0056459B" w:rsidRPr="0040251F" w:rsidRDefault="00F02FEB"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color w:val="000000" w:themeColor="text1"/>
        </w:rPr>
        <w:t>John Doe</w:t>
      </w:r>
      <w:r w:rsidRPr="0040251F">
        <w:rPr>
          <w:rFonts w:asciiTheme="majorBidi" w:hAnsiTheme="majorBidi" w:cstheme="majorBidi"/>
          <w:color w:val="000000" w:themeColor="text1"/>
          <w:vertAlign w:val="superscript"/>
        </w:rPr>
        <w:t>1</w:t>
      </w:r>
      <w:r w:rsidRPr="0040251F">
        <w:rPr>
          <w:rFonts w:asciiTheme="majorBidi" w:hAnsiTheme="majorBidi" w:cstheme="majorBidi"/>
          <w:color w:val="000000" w:themeColor="text1"/>
        </w:rPr>
        <w:t>, Jane Smith</w:t>
      </w:r>
      <w:r w:rsidRPr="0040251F">
        <w:rPr>
          <w:rFonts w:asciiTheme="majorBidi" w:hAnsiTheme="majorBidi" w:cstheme="majorBidi"/>
          <w:color w:val="000000" w:themeColor="text1"/>
          <w:vertAlign w:val="superscript"/>
        </w:rPr>
        <w:t>2</w:t>
      </w:r>
      <w:r w:rsidRPr="0040251F">
        <w:rPr>
          <w:rFonts w:asciiTheme="majorBidi" w:hAnsiTheme="majorBidi" w:cstheme="majorBidi"/>
          <w:color w:val="000000" w:themeColor="text1"/>
        </w:rPr>
        <w:t>*</w:t>
      </w:r>
    </w:p>
    <w:p w14:paraId="57ED3B4B" w14:textId="77777777" w:rsidR="00F02FEB" w:rsidRPr="0040251F" w:rsidRDefault="00F02FEB" w:rsidP="0040251F">
      <w:pPr>
        <w:spacing w:after="120" w:line="276" w:lineRule="auto"/>
        <w:jc w:val="center"/>
        <w:rPr>
          <w:rFonts w:asciiTheme="majorBidi" w:hAnsiTheme="majorBidi" w:cstheme="majorBidi"/>
          <w:color w:val="000000" w:themeColor="text1"/>
        </w:rPr>
      </w:pPr>
    </w:p>
    <w:p w14:paraId="3734FE5F" w14:textId="4651627B" w:rsidR="0056459B" w:rsidRPr="0040251F" w:rsidRDefault="00F02FEB"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color w:val="000000" w:themeColor="text1"/>
          <w:vertAlign w:val="superscript"/>
        </w:rPr>
        <w:t>1</w:t>
      </w:r>
      <w:r w:rsidR="00195F27" w:rsidRPr="0040251F">
        <w:rPr>
          <w:rFonts w:asciiTheme="majorBidi" w:hAnsiTheme="majorBidi" w:cstheme="majorBidi"/>
          <w:color w:val="000000" w:themeColor="text1"/>
        </w:rPr>
        <w:t>Full Affiliation</w:t>
      </w:r>
      <w:r w:rsidR="00156483" w:rsidRPr="0040251F">
        <w:rPr>
          <w:rFonts w:asciiTheme="majorBidi" w:hAnsiTheme="majorBidi" w:cstheme="majorBidi"/>
          <w:color w:val="000000" w:themeColor="text1"/>
        </w:rPr>
        <w:t xml:space="preserve">, </w:t>
      </w:r>
      <w:hyperlink r:id="rId8" w:history="1">
        <w:r w:rsidR="00E446C8" w:rsidRPr="0040251F">
          <w:rPr>
            <w:rStyle w:val="Hyperlink"/>
            <w:rFonts w:asciiTheme="majorBidi" w:hAnsiTheme="majorBidi" w:cstheme="majorBidi"/>
          </w:rPr>
          <w:t>john.doe@xyz.edu</w:t>
        </w:r>
      </w:hyperlink>
    </w:p>
    <w:p w14:paraId="070F5C6E" w14:textId="6EC7F09F" w:rsidR="0056459B" w:rsidRPr="0040251F" w:rsidRDefault="00F02FEB"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color w:val="000000" w:themeColor="text1"/>
          <w:vertAlign w:val="superscript"/>
        </w:rPr>
        <w:t>2</w:t>
      </w:r>
      <w:r w:rsidR="00195F27" w:rsidRPr="0040251F">
        <w:rPr>
          <w:rFonts w:asciiTheme="majorBidi" w:hAnsiTheme="majorBidi" w:cstheme="majorBidi"/>
          <w:color w:val="000000" w:themeColor="text1"/>
        </w:rPr>
        <w:t>Full affiliation</w:t>
      </w:r>
      <w:r w:rsidR="00156483" w:rsidRPr="0040251F">
        <w:rPr>
          <w:rFonts w:asciiTheme="majorBidi" w:hAnsiTheme="majorBidi" w:cstheme="majorBidi"/>
          <w:color w:val="000000" w:themeColor="text1"/>
        </w:rPr>
        <w:t xml:space="preserve">, </w:t>
      </w:r>
      <w:hyperlink r:id="rId9" w:history="1">
        <w:r w:rsidR="00E446C8" w:rsidRPr="0040251F">
          <w:rPr>
            <w:rStyle w:val="Hyperlink"/>
            <w:rFonts w:asciiTheme="majorBidi" w:hAnsiTheme="majorBidi" w:cstheme="majorBidi"/>
          </w:rPr>
          <w:t>jane.smith@abc.org</w:t>
        </w:r>
      </w:hyperlink>
    </w:p>
    <w:p w14:paraId="471C4E5A"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73599A3C" w14:textId="5AC5BA13"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*Corresponding Author</w:t>
      </w:r>
      <w:r w:rsidR="00195F27" w:rsidRPr="0040251F">
        <w:rPr>
          <w:rFonts w:asciiTheme="majorBidi" w:hAnsiTheme="majorBidi" w:cstheme="majorBidi"/>
          <w:color w:val="000000" w:themeColor="text1"/>
        </w:rPr>
        <w:t xml:space="preserve"> address</w:t>
      </w:r>
      <w:r w:rsidR="00AF6DC9" w:rsidRPr="0040251F">
        <w:rPr>
          <w:rFonts w:asciiTheme="majorBidi" w:hAnsiTheme="majorBidi" w:cstheme="majorBidi"/>
          <w:color w:val="000000" w:themeColor="text1"/>
        </w:rPr>
        <w:t>.</w:t>
      </w:r>
    </w:p>
    <w:p w14:paraId="26C5FDD8" w14:textId="5980C98C" w:rsidR="00E446C8" w:rsidRPr="0040251F" w:rsidRDefault="00E446C8" w:rsidP="0040251F">
      <w:pPr>
        <w:spacing w:after="120" w:line="276" w:lineRule="auto"/>
        <w:jc w:val="both"/>
        <w:rPr>
          <w:rFonts w:asciiTheme="majorBidi" w:hAnsiTheme="majorBidi" w:cstheme="majorBidi"/>
          <w:color w:val="000000" w:themeColor="text1"/>
        </w:rPr>
      </w:pPr>
    </w:p>
    <w:p w14:paraId="3CC0E3BD" w14:textId="0B00C9EC" w:rsidR="00CD759D" w:rsidRDefault="00CD759D" w:rsidP="0040251F">
      <w:pPr>
        <w:spacing w:after="120" w:line="276" w:lineRule="auto"/>
        <w:jc w:val="both"/>
        <w:rPr>
          <w:rFonts w:asciiTheme="majorBidi" w:hAnsiTheme="majorBidi" w:cstheme="majorBidi"/>
          <w:b/>
          <w:bCs/>
          <w:color w:val="000000" w:themeColor="text1"/>
        </w:rPr>
      </w:pPr>
      <w:r w:rsidRPr="00C46305">
        <w:rPr>
          <w:rFonts w:asciiTheme="majorBidi" w:hAnsiTheme="majorBidi" w:cstheme="majorBidi"/>
          <w:b/>
          <w:bCs/>
          <w:color w:val="000000" w:themeColor="text1"/>
        </w:rPr>
        <w:t>Graphical abstract</w:t>
      </w:r>
    </w:p>
    <w:p w14:paraId="6D327FFC" w14:textId="77777777" w:rsidR="00C46305" w:rsidRPr="00C46305" w:rsidRDefault="00C46305" w:rsidP="0040251F">
      <w:pPr>
        <w:spacing w:after="120" w:line="276" w:lineRule="auto"/>
        <w:jc w:val="both"/>
        <w:rPr>
          <w:rFonts w:asciiTheme="majorBidi" w:hAnsiTheme="majorBidi" w:cstheme="majorBidi"/>
          <w:b/>
          <w:bCs/>
          <w:color w:val="000000" w:themeColor="text1"/>
        </w:rPr>
      </w:pPr>
    </w:p>
    <w:p w14:paraId="16F22469" w14:textId="4EDAC600" w:rsidR="00CD759D" w:rsidRPr="0040251F" w:rsidRDefault="002D7A45"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noProof/>
          <w:color w:val="000000" w:themeColor="text1"/>
        </w:rPr>
        <w:drawing>
          <wp:inline distT="0" distB="0" distL="0" distR="0" wp14:anchorId="39EADB8C" wp14:editId="3F8511BC">
            <wp:extent cx="4023130" cy="2194560"/>
            <wp:effectExtent l="0" t="0" r="3175" b="2540"/>
            <wp:docPr id="52578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81969" name="Picture 525781969"/>
                    <pic:cNvPicPr/>
                  </pic:nvPicPr>
                  <pic:blipFill>
                    <a:blip r:embed="rId10"/>
                    <a:stretch>
                      <a:fillRect/>
                    </a:stretch>
                  </pic:blipFill>
                  <pic:spPr>
                    <a:xfrm>
                      <a:off x="0" y="0"/>
                      <a:ext cx="4023130" cy="2194560"/>
                    </a:xfrm>
                    <a:prstGeom prst="rect">
                      <a:avLst/>
                    </a:prstGeom>
                  </pic:spPr>
                </pic:pic>
              </a:graphicData>
            </a:graphic>
          </wp:inline>
        </w:drawing>
      </w:r>
    </w:p>
    <w:p w14:paraId="33AB296F" w14:textId="218F13B6" w:rsidR="007958E1" w:rsidRPr="0040251F" w:rsidRDefault="0089041E" w:rsidP="0040251F">
      <w:pPr>
        <w:shd w:val="clear" w:color="auto" w:fill="FFFFFF"/>
        <w:spacing w:after="120" w:line="276" w:lineRule="auto"/>
        <w:rPr>
          <w:rFonts w:asciiTheme="majorBidi" w:hAnsiTheme="majorBidi" w:cstheme="majorBidi"/>
        </w:rPr>
      </w:pPr>
      <w:r w:rsidRPr="0040251F">
        <w:rPr>
          <w:rFonts w:asciiTheme="majorBidi" w:hAnsiTheme="majorBidi" w:cstheme="majorBidi"/>
        </w:rPr>
        <w:t>[</w:t>
      </w:r>
      <w:r w:rsidR="007958E1" w:rsidRPr="0040251F">
        <w:rPr>
          <w:rFonts w:asciiTheme="majorBidi" w:hAnsiTheme="majorBidi" w:cstheme="majorBidi"/>
        </w:rPr>
        <w:t>Graphical Abstract: A graphical abstract summarizes the key points of a research article. It’s a visual representation of the research work and helps readers to understand the essence of the study without needing to read the full text. The graphical abstract should be 2.4 inches in height and 4.4 inches in width, with a resolution of 300 dpi.</w:t>
      </w:r>
      <w:r w:rsidRPr="0040251F">
        <w:rPr>
          <w:rFonts w:asciiTheme="majorBidi" w:hAnsiTheme="majorBidi" w:cstheme="majorBidi"/>
        </w:rPr>
        <w:t>]</w:t>
      </w:r>
    </w:p>
    <w:p w14:paraId="45105926" w14:textId="77777777" w:rsidR="00E83359" w:rsidRPr="00C46305" w:rsidRDefault="00E83359" w:rsidP="0040251F">
      <w:pPr>
        <w:spacing w:after="120" w:line="276" w:lineRule="auto"/>
        <w:jc w:val="both"/>
        <w:rPr>
          <w:rFonts w:asciiTheme="majorBidi" w:hAnsiTheme="majorBidi" w:cstheme="majorBidi"/>
          <w:color w:val="000000" w:themeColor="text1"/>
        </w:rPr>
      </w:pPr>
    </w:p>
    <w:p w14:paraId="08F9C247" w14:textId="77777777" w:rsidR="00C46305" w:rsidRPr="00C46305" w:rsidRDefault="00AF6DC9" w:rsidP="0040251F">
      <w:pPr>
        <w:spacing w:after="120" w:line="276" w:lineRule="auto"/>
        <w:jc w:val="both"/>
        <w:rPr>
          <w:rFonts w:asciiTheme="majorBidi" w:hAnsiTheme="majorBidi" w:cstheme="majorBidi"/>
          <w:b/>
          <w:bCs/>
          <w:color w:val="000000" w:themeColor="text1"/>
        </w:rPr>
      </w:pPr>
      <w:r w:rsidRPr="00C46305">
        <w:rPr>
          <w:rFonts w:asciiTheme="majorBidi" w:hAnsiTheme="majorBidi" w:cstheme="majorBidi"/>
          <w:b/>
          <w:bCs/>
          <w:color w:val="000000" w:themeColor="text1"/>
        </w:rPr>
        <w:t>Highlights</w:t>
      </w:r>
    </w:p>
    <w:p w14:paraId="3DA97522" w14:textId="796DEBBE" w:rsidR="00AF6DC9" w:rsidRPr="0040251F" w:rsidRDefault="00594696" w:rsidP="0040251F">
      <w:pPr>
        <w:spacing w:after="120" w:line="276" w:lineRule="auto"/>
        <w:jc w:val="both"/>
        <w:rPr>
          <w:rFonts w:asciiTheme="majorBidi" w:hAnsiTheme="majorBidi" w:cstheme="majorBidi"/>
          <w:i/>
          <w:iCs/>
          <w:color w:val="000000" w:themeColor="text1"/>
        </w:rPr>
      </w:pPr>
      <w:r w:rsidRPr="0040251F">
        <w:rPr>
          <w:rFonts w:asciiTheme="majorBidi" w:hAnsiTheme="majorBidi" w:cstheme="majorBidi"/>
          <w:i/>
          <w:iCs/>
          <w:color w:val="000000" w:themeColor="text1"/>
        </w:rPr>
        <w:t>(85-character lengths</w:t>
      </w:r>
      <w:r w:rsidR="00195F27" w:rsidRPr="0040251F">
        <w:rPr>
          <w:rFonts w:asciiTheme="majorBidi" w:hAnsiTheme="majorBidi" w:cstheme="majorBidi"/>
          <w:i/>
          <w:iCs/>
          <w:color w:val="000000" w:themeColor="text1"/>
        </w:rPr>
        <w:t>; max 5</w:t>
      </w:r>
      <w:r w:rsidRPr="0040251F">
        <w:rPr>
          <w:rFonts w:asciiTheme="majorBidi" w:hAnsiTheme="majorBidi" w:cstheme="majorBidi"/>
          <w:i/>
          <w:iCs/>
          <w:color w:val="000000" w:themeColor="text1"/>
        </w:rPr>
        <w:t>)</w:t>
      </w:r>
      <w:r w:rsidR="00AF6DC9" w:rsidRPr="0040251F">
        <w:rPr>
          <w:rFonts w:asciiTheme="majorBidi" w:hAnsiTheme="majorBidi" w:cstheme="majorBidi"/>
          <w:i/>
          <w:iCs/>
          <w:color w:val="000000" w:themeColor="text1"/>
        </w:rPr>
        <w:t>:</w:t>
      </w:r>
    </w:p>
    <w:p w14:paraId="0FF0BA85" w14:textId="776F5362" w:rsidR="0098229A" w:rsidRPr="0040251F" w:rsidRDefault="0098229A" w:rsidP="0040251F">
      <w:pPr>
        <w:pStyle w:val="ListParagraph"/>
        <w:numPr>
          <w:ilvl w:val="0"/>
          <w:numId w:val="11"/>
        </w:numPr>
        <w:spacing w:after="120"/>
        <w:rPr>
          <w:rFonts w:asciiTheme="majorBidi" w:eastAsia="Times New Roman" w:hAnsiTheme="majorBidi" w:cstheme="majorBidi"/>
          <w:sz w:val="24"/>
          <w:szCs w:val="24"/>
        </w:rPr>
      </w:pPr>
      <w:r w:rsidRPr="0040251F">
        <w:rPr>
          <w:rFonts w:asciiTheme="majorBidi" w:eastAsia="Times New Roman" w:hAnsiTheme="majorBidi" w:cstheme="majorBidi"/>
          <w:sz w:val="24"/>
          <w:szCs w:val="24"/>
        </w:rPr>
        <w:t>Authors must read the author guidelines before preparing their manuscript.</w:t>
      </w:r>
    </w:p>
    <w:p w14:paraId="4F2F06B1" w14:textId="25523C8E" w:rsidR="0098229A" w:rsidRPr="0040251F" w:rsidRDefault="0045381B" w:rsidP="0040251F">
      <w:pPr>
        <w:pStyle w:val="ListParagraph"/>
        <w:numPr>
          <w:ilvl w:val="0"/>
          <w:numId w:val="11"/>
        </w:numPr>
        <w:spacing w:after="120"/>
        <w:rPr>
          <w:rFonts w:asciiTheme="majorBidi" w:eastAsia="Times New Roman" w:hAnsiTheme="majorBidi" w:cstheme="majorBidi"/>
          <w:sz w:val="24"/>
          <w:szCs w:val="24"/>
        </w:rPr>
      </w:pPr>
      <w:r w:rsidRPr="0040251F">
        <w:rPr>
          <w:rFonts w:asciiTheme="majorBidi" w:eastAsia="Times New Roman" w:hAnsiTheme="majorBidi" w:cstheme="majorBidi"/>
          <w:sz w:val="24"/>
          <w:szCs w:val="24"/>
        </w:rPr>
        <w:t>M</w:t>
      </w:r>
      <w:r w:rsidR="0098229A" w:rsidRPr="0040251F">
        <w:rPr>
          <w:rFonts w:asciiTheme="majorBidi" w:eastAsia="Times New Roman" w:hAnsiTheme="majorBidi" w:cstheme="majorBidi"/>
          <w:sz w:val="24"/>
          <w:szCs w:val="24"/>
        </w:rPr>
        <w:t>anuscript must follow th</w:t>
      </w:r>
      <w:r w:rsidRPr="0040251F">
        <w:rPr>
          <w:rFonts w:asciiTheme="majorBidi" w:eastAsia="Times New Roman" w:hAnsiTheme="majorBidi" w:cstheme="majorBidi"/>
          <w:sz w:val="24"/>
          <w:szCs w:val="24"/>
        </w:rPr>
        <w:t>is</w:t>
      </w:r>
      <w:r w:rsidR="0098229A" w:rsidRPr="0040251F">
        <w:rPr>
          <w:rFonts w:asciiTheme="majorBidi" w:eastAsia="Times New Roman" w:hAnsiTheme="majorBidi" w:cstheme="majorBidi"/>
          <w:sz w:val="24"/>
          <w:szCs w:val="24"/>
        </w:rPr>
        <w:t xml:space="preserve"> template and meet the submission formatting requirements.</w:t>
      </w:r>
    </w:p>
    <w:p w14:paraId="31199AB7" w14:textId="70D0EDDE" w:rsidR="0098229A" w:rsidRPr="0040251F" w:rsidRDefault="007718F6" w:rsidP="0040251F">
      <w:pPr>
        <w:pStyle w:val="ListParagraph"/>
        <w:numPr>
          <w:ilvl w:val="0"/>
          <w:numId w:val="11"/>
        </w:numPr>
        <w:spacing w:after="120"/>
        <w:rPr>
          <w:rFonts w:asciiTheme="majorBidi" w:eastAsia="Times New Roman" w:hAnsiTheme="majorBidi" w:cstheme="majorBidi"/>
          <w:sz w:val="24"/>
          <w:szCs w:val="24"/>
        </w:rPr>
      </w:pPr>
      <w:r w:rsidRPr="0040251F">
        <w:rPr>
          <w:rFonts w:asciiTheme="majorBidi" w:eastAsia="Times New Roman" w:hAnsiTheme="majorBidi" w:cstheme="majorBidi"/>
          <w:sz w:val="24"/>
          <w:szCs w:val="24"/>
        </w:rPr>
        <w:t>Check article types for specific guidelines on m</w:t>
      </w:r>
      <w:r w:rsidR="0045381B" w:rsidRPr="0040251F">
        <w:rPr>
          <w:rFonts w:asciiTheme="majorBidi" w:eastAsia="Times New Roman" w:hAnsiTheme="majorBidi" w:cstheme="majorBidi"/>
          <w:sz w:val="24"/>
          <w:szCs w:val="24"/>
        </w:rPr>
        <w:t>anuscript length, figures &amp; tables</w:t>
      </w:r>
      <w:r w:rsidR="0098229A" w:rsidRPr="0040251F">
        <w:rPr>
          <w:rFonts w:asciiTheme="majorBidi" w:eastAsia="Times New Roman" w:hAnsiTheme="majorBidi" w:cstheme="majorBidi"/>
          <w:sz w:val="24"/>
          <w:szCs w:val="24"/>
        </w:rPr>
        <w:t>.</w:t>
      </w:r>
    </w:p>
    <w:p w14:paraId="1A424D4B" w14:textId="3DE57188" w:rsidR="007718F6" w:rsidRPr="0040251F" w:rsidRDefault="007718F6" w:rsidP="0040251F">
      <w:pPr>
        <w:pStyle w:val="ListParagraph"/>
        <w:numPr>
          <w:ilvl w:val="0"/>
          <w:numId w:val="11"/>
        </w:numPr>
        <w:spacing w:after="120"/>
        <w:rPr>
          <w:rFonts w:asciiTheme="majorBidi" w:eastAsia="Times New Roman" w:hAnsiTheme="majorBidi" w:cstheme="majorBidi"/>
          <w:sz w:val="24"/>
          <w:szCs w:val="24"/>
        </w:rPr>
      </w:pPr>
      <w:r w:rsidRPr="0040251F">
        <w:rPr>
          <w:rFonts w:asciiTheme="majorBidi" w:eastAsia="Times New Roman" w:hAnsiTheme="majorBidi" w:cstheme="majorBidi"/>
          <w:sz w:val="24"/>
          <w:szCs w:val="24"/>
        </w:rPr>
        <w:lastRenderedPageBreak/>
        <w:t>Follow journal reference styles during manuscript preparation</w:t>
      </w:r>
    </w:p>
    <w:p w14:paraId="154160D6" w14:textId="20445E4C" w:rsidR="00AF6DC9" w:rsidRPr="0040251F" w:rsidRDefault="007718F6" w:rsidP="0040251F">
      <w:pPr>
        <w:pStyle w:val="ListParagraph"/>
        <w:numPr>
          <w:ilvl w:val="0"/>
          <w:numId w:val="11"/>
        </w:numPr>
        <w:spacing w:after="120"/>
        <w:rPr>
          <w:rFonts w:asciiTheme="majorBidi" w:eastAsia="Times New Roman" w:hAnsiTheme="majorBidi" w:cstheme="majorBidi"/>
          <w:sz w:val="24"/>
          <w:szCs w:val="24"/>
        </w:rPr>
      </w:pPr>
      <w:r w:rsidRPr="0040251F">
        <w:rPr>
          <w:rFonts w:asciiTheme="majorBidi" w:eastAsia="Times New Roman" w:hAnsiTheme="majorBidi" w:cstheme="majorBidi"/>
          <w:sz w:val="24"/>
          <w:szCs w:val="24"/>
        </w:rPr>
        <w:t>Include graphical abstract that highlight overall study insights</w:t>
      </w:r>
      <w:r w:rsidR="0098229A" w:rsidRPr="0040251F">
        <w:rPr>
          <w:rFonts w:asciiTheme="majorBidi" w:eastAsia="Times New Roman" w:hAnsiTheme="majorBidi" w:cstheme="majorBidi"/>
          <w:sz w:val="24"/>
          <w:szCs w:val="24"/>
        </w:rPr>
        <w:t>.</w:t>
      </w:r>
    </w:p>
    <w:p w14:paraId="5A7D23B0" w14:textId="77777777" w:rsidR="0098229A" w:rsidRPr="0040251F" w:rsidRDefault="0098229A" w:rsidP="0040251F">
      <w:pPr>
        <w:spacing w:after="120" w:line="276" w:lineRule="auto"/>
        <w:jc w:val="both"/>
        <w:rPr>
          <w:rFonts w:asciiTheme="majorBidi" w:hAnsiTheme="majorBidi" w:cstheme="majorBidi"/>
          <w:color w:val="000000" w:themeColor="text1"/>
        </w:rPr>
      </w:pPr>
    </w:p>
    <w:p w14:paraId="4F7EEB6E" w14:textId="3E78A060"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Abstract</w:t>
      </w:r>
      <w:r w:rsidR="00AF6DC9" w:rsidRPr="0040251F">
        <w:rPr>
          <w:rFonts w:asciiTheme="majorBidi" w:hAnsiTheme="majorBidi"/>
          <w:color w:val="000000" w:themeColor="text1"/>
          <w:sz w:val="24"/>
          <w:szCs w:val="24"/>
        </w:rPr>
        <w:t xml:space="preserve"> [</w:t>
      </w:r>
      <w:r w:rsidR="00195F27" w:rsidRPr="0040251F">
        <w:rPr>
          <w:rFonts w:asciiTheme="majorBidi" w:hAnsiTheme="majorBidi"/>
          <w:color w:val="000000" w:themeColor="text1"/>
          <w:sz w:val="24"/>
          <w:szCs w:val="24"/>
        </w:rPr>
        <w:t xml:space="preserve">max </w:t>
      </w:r>
      <w:r w:rsidR="00AF6DC9" w:rsidRPr="0040251F">
        <w:rPr>
          <w:rFonts w:asciiTheme="majorBidi" w:hAnsiTheme="majorBidi"/>
          <w:color w:val="000000" w:themeColor="text1"/>
          <w:sz w:val="24"/>
          <w:szCs w:val="24"/>
        </w:rPr>
        <w:t>250 words]</w:t>
      </w:r>
    </w:p>
    <w:p w14:paraId="531AA98F" w14:textId="554E875B"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This study explores the impact of urbanization on groundwater quality using geospatial machine learning techniques. Key findings reveal significant correlations between surface reflectance patterns and groundwater contamination risks. The analysis provides insights for sustainable urban planning and water resource management.</w:t>
      </w:r>
    </w:p>
    <w:p w14:paraId="1DD3CF39"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200834CA" w14:textId="3543A99A" w:rsidR="00A15CAF"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i/>
          <w:iCs/>
          <w:color w:val="000000" w:themeColor="text1"/>
        </w:rPr>
        <w:t>Keywords</w:t>
      </w:r>
      <w:r w:rsidR="00AF6DC9" w:rsidRPr="0040251F">
        <w:rPr>
          <w:rFonts w:asciiTheme="majorBidi" w:hAnsiTheme="majorBidi" w:cstheme="majorBidi"/>
          <w:i/>
          <w:iCs/>
          <w:color w:val="000000" w:themeColor="text1"/>
        </w:rPr>
        <w:t xml:space="preserve"> [</w:t>
      </w:r>
      <w:r w:rsidR="00195F27" w:rsidRPr="0040251F">
        <w:rPr>
          <w:rFonts w:asciiTheme="majorBidi" w:hAnsiTheme="majorBidi" w:cstheme="majorBidi"/>
          <w:i/>
          <w:iCs/>
          <w:color w:val="000000" w:themeColor="text1"/>
        </w:rPr>
        <w:t xml:space="preserve">max </w:t>
      </w:r>
      <w:r w:rsidR="00AF6DC9" w:rsidRPr="0040251F">
        <w:rPr>
          <w:rFonts w:asciiTheme="majorBidi" w:hAnsiTheme="majorBidi" w:cstheme="majorBidi"/>
          <w:i/>
          <w:iCs/>
          <w:color w:val="000000" w:themeColor="text1"/>
        </w:rPr>
        <w:t>5]</w:t>
      </w:r>
      <w:r w:rsidR="000E7BAE" w:rsidRPr="0040251F">
        <w:rPr>
          <w:rFonts w:asciiTheme="majorBidi" w:hAnsiTheme="majorBidi" w:cstheme="majorBidi"/>
          <w:i/>
          <w:iCs/>
          <w:color w:val="000000" w:themeColor="text1"/>
        </w:rPr>
        <w:t>:</w:t>
      </w:r>
      <w:r w:rsidR="000E7BAE" w:rsidRPr="0040251F">
        <w:rPr>
          <w:rFonts w:asciiTheme="majorBidi" w:hAnsiTheme="majorBidi" w:cstheme="majorBidi"/>
          <w:color w:val="000000" w:themeColor="text1"/>
        </w:rPr>
        <w:t xml:space="preserve"> </w:t>
      </w:r>
      <w:r w:rsidRPr="0040251F">
        <w:rPr>
          <w:rFonts w:asciiTheme="majorBidi" w:hAnsiTheme="majorBidi" w:cstheme="majorBidi"/>
          <w:color w:val="000000" w:themeColor="text1"/>
        </w:rPr>
        <w:t>urbanization, groundwater, geospatial analysis, machine learning, environmental health</w:t>
      </w:r>
    </w:p>
    <w:p w14:paraId="1551671C"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0532ED31"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1. Introduction</w:t>
      </w:r>
    </w:p>
    <w:p w14:paraId="0DC233B7" w14:textId="6027A09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Urbanization has led to substantial changes in land use, affecting natural resources such as groundwater. This manuscript aims to examine how surface reflectance patterns, influenced by urban growth, correlate with groundwater health risks (</w:t>
      </w:r>
      <w:r w:rsidR="007958E1" w:rsidRPr="0040251F">
        <w:rPr>
          <w:rFonts w:asciiTheme="majorBidi" w:hAnsiTheme="majorBidi" w:cstheme="majorBidi"/>
          <w:color w:val="000000" w:themeColor="text1"/>
        </w:rPr>
        <w:t>Stewart, 2021</w:t>
      </w:r>
      <w:r w:rsidR="007958E1" w:rsidRPr="0040251F">
        <w:rPr>
          <w:rFonts w:asciiTheme="majorBidi" w:hAnsiTheme="majorBidi" w:cstheme="majorBidi"/>
          <w:color w:val="000000" w:themeColor="text1"/>
        </w:rPr>
        <w:t xml:space="preserve">; </w:t>
      </w:r>
      <w:r w:rsidRPr="0040251F">
        <w:rPr>
          <w:rFonts w:asciiTheme="majorBidi" w:hAnsiTheme="majorBidi" w:cstheme="majorBidi"/>
          <w:color w:val="000000" w:themeColor="text1"/>
        </w:rPr>
        <w:t xml:space="preserve">Brown </w:t>
      </w:r>
      <w:r w:rsidR="007958E1"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Lee, 2023</w:t>
      </w:r>
      <w:r w:rsidR="007958E1" w:rsidRPr="0040251F">
        <w:rPr>
          <w:rFonts w:asciiTheme="majorBidi" w:hAnsiTheme="majorBidi" w:cstheme="majorBidi"/>
          <w:color w:val="000000" w:themeColor="text1"/>
        </w:rPr>
        <w:t xml:space="preserve">; </w:t>
      </w:r>
      <w:r w:rsidR="007958E1" w:rsidRPr="0040251F">
        <w:rPr>
          <w:rFonts w:asciiTheme="majorBidi" w:hAnsiTheme="majorBidi" w:cstheme="majorBidi"/>
          <w:color w:val="000000" w:themeColor="text1"/>
        </w:rPr>
        <w:t>Smith et al., 2024</w:t>
      </w:r>
      <w:r w:rsidRPr="0040251F">
        <w:rPr>
          <w:rFonts w:asciiTheme="majorBidi" w:hAnsiTheme="majorBidi" w:cstheme="majorBidi"/>
          <w:color w:val="000000" w:themeColor="text1"/>
        </w:rPr>
        <w:t>). By integrating geospatial data and machine learning algorithms (Smith et al., 2024), this study addresses gaps in understanding urban impacts on groundwater.</w:t>
      </w:r>
    </w:p>
    <w:p w14:paraId="097546C7" w14:textId="17FCAAEB" w:rsidR="00BF785E" w:rsidRPr="0040251F" w:rsidRDefault="00BF785E" w:rsidP="0040251F">
      <w:pPr>
        <w:spacing w:after="120" w:line="276" w:lineRule="auto"/>
        <w:ind w:firstLine="360"/>
        <w:jc w:val="both"/>
        <w:rPr>
          <w:rFonts w:asciiTheme="majorBidi" w:hAnsiTheme="majorBidi" w:cstheme="majorBidi"/>
          <w:color w:val="000000" w:themeColor="text1"/>
        </w:rPr>
      </w:pPr>
      <w:r w:rsidRPr="0040251F">
        <w:rPr>
          <w:rFonts w:asciiTheme="majorBidi" w:hAnsiTheme="majorBidi" w:cstheme="majorBidi"/>
          <w:color w:val="000000" w:themeColor="text1"/>
        </w:rPr>
        <w:t xml:space="preserve">Urbanization has led to substantial changes in land use, affecting natural resources such as groundwater. This manuscript aims to examine how surface reflectance patterns, influenced by urban growth, correlate with groundwater health risks (Brown </w:t>
      </w:r>
      <w:r w:rsidR="007958E1"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Lee, 2023). By integrating geospatial data and machine learning algorithms (Smith et al., 2024), this study addresses gaps in understanding urban impacts on groundwater.</w:t>
      </w:r>
    </w:p>
    <w:p w14:paraId="04981527" w14:textId="020FE7EC" w:rsidR="00BF785E" w:rsidRPr="0040251F" w:rsidRDefault="00BF785E" w:rsidP="0040251F">
      <w:pPr>
        <w:spacing w:after="120" w:line="276" w:lineRule="auto"/>
        <w:ind w:firstLine="360"/>
        <w:jc w:val="both"/>
        <w:rPr>
          <w:rFonts w:asciiTheme="majorBidi" w:hAnsiTheme="majorBidi" w:cstheme="majorBidi"/>
          <w:color w:val="000000" w:themeColor="text1"/>
        </w:rPr>
      </w:pPr>
      <w:r w:rsidRPr="0040251F">
        <w:rPr>
          <w:rFonts w:asciiTheme="majorBidi" w:hAnsiTheme="majorBidi" w:cstheme="majorBidi"/>
          <w:color w:val="000000" w:themeColor="text1"/>
        </w:rPr>
        <w:t>Data sources included satellite imagery, field surveys, and groundwater quality measurements. Remote sensing data was processed to derive surface reflectance patterns (Adams et al., 2020)</w:t>
      </w:r>
      <w:r w:rsidR="007958E1" w:rsidRPr="0040251F">
        <w:rPr>
          <w:rFonts w:asciiTheme="majorBidi" w:hAnsiTheme="majorBidi" w:cstheme="majorBidi"/>
          <w:color w:val="000000" w:themeColor="text1"/>
        </w:rPr>
        <w:t xml:space="preserve">. Stewart (2021) provided </w:t>
      </w:r>
      <w:r w:rsidRPr="0040251F">
        <w:rPr>
          <w:rFonts w:asciiTheme="majorBidi" w:hAnsiTheme="majorBidi" w:cstheme="majorBidi"/>
          <w:color w:val="000000" w:themeColor="text1"/>
        </w:rPr>
        <w:t xml:space="preserve">laboratory analyses </w:t>
      </w:r>
      <w:r w:rsidR="007958E1" w:rsidRPr="0040251F">
        <w:rPr>
          <w:rFonts w:asciiTheme="majorBidi" w:hAnsiTheme="majorBidi" w:cstheme="majorBidi"/>
          <w:color w:val="000000" w:themeColor="text1"/>
        </w:rPr>
        <w:t>of</w:t>
      </w:r>
      <w:r w:rsidRPr="0040251F">
        <w:rPr>
          <w:rFonts w:asciiTheme="majorBidi" w:hAnsiTheme="majorBidi" w:cstheme="majorBidi"/>
          <w:color w:val="000000" w:themeColor="text1"/>
        </w:rPr>
        <w:t xml:space="preserve"> detailed water quality metrics.</w:t>
      </w:r>
    </w:p>
    <w:p w14:paraId="1F517645"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6E46AED2"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2. Materials and Methods</w:t>
      </w:r>
    </w:p>
    <w:p w14:paraId="28ADA919"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2.1 Study Area</w:t>
      </w:r>
    </w:p>
    <w:p w14:paraId="293CF2D5" w14:textId="2C8DDDF5"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The study focuses on Guwahati city, a rapidly urbanizing region in northeastern India</w:t>
      </w:r>
      <w:r w:rsidR="0048732D" w:rsidRPr="0040251F">
        <w:rPr>
          <w:rFonts w:asciiTheme="majorBidi" w:hAnsiTheme="majorBidi" w:cstheme="majorBidi"/>
          <w:color w:val="000000" w:themeColor="text1"/>
        </w:rPr>
        <w:t xml:space="preserve"> (Fig. 1)</w:t>
      </w:r>
      <w:r w:rsidRPr="0040251F">
        <w:rPr>
          <w:rFonts w:asciiTheme="majorBidi" w:hAnsiTheme="majorBidi" w:cstheme="majorBidi"/>
          <w:color w:val="000000" w:themeColor="text1"/>
        </w:rPr>
        <w:t>. Geospatial data was collected for a 10-year period to analyze temporal changes in land use and groundwater conditions.</w:t>
      </w:r>
    </w:p>
    <w:p w14:paraId="5988CBD5" w14:textId="5DEB6DC8" w:rsidR="0048732D" w:rsidRPr="0040251F" w:rsidRDefault="0048732D" w:rsidP="0040251F">
      <w:pPr>
        <w:spacing w:after="120" w:line="276" w:lineRule="auto"/>
        <w:jc w:val="both"/>
        <w:rPr>
          <w:rFonts w:asciiTheme="majorBidi" w:hAnsiTheme="majorBidi" w:cstheme="majorBidi"/>
          <w:color w:val="000000" w:themeColor="text1"/>
        </w:rPr>
      </w:pPr>
    </w:p>
    <w:p w14:paraId="2BDF7FE1" w14:textId="115AC844" w:rsidR="0048732D" w:rsidRPr="0040251F" w:rsidRDefault="00BF785E"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noProof/>
          <w:color w:val="000000" w:themeColor="text1"/>
        </w:rPr>
        <w:lastRenderedPageBreak/>
        <w:drawing>
          <wp:inline distT="0" distB="0" distL="0" distR="0" wp14:anchorId="62C188A8" wp14:editId="539FCA1D">
            <wp:extent cx="2560320" cy="2915099"/>
            <wp:effectExtent l="0" t="0" r="5080" b="6350"/>
            <wp:docPr id="7" name="Mai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in graphic"/>
                    <pic:cNvPicPr/>
                  </pic:nvPicPr>
                  <pic:blipFill>
                    <a:blip r:embed="rId11"/>
                    <a:stretch/>
                  </pic:blipFill>
                  <pic:spPr>
                    <a:xfrm>
                      <a:off x="0" y="0"/>
                      <a:ext cx="2560320" cy="2915099"/>
                    </a:xfrm>
                    <a:prstGeom prst="rect">
                      <a:avLst/>
                    </a:prstGeom>
                    <a:ln>
                      <a:noFill/>
                    </a:ln>
                  </pic:spPr>
                </pic:pic>
              </a:graphicData>
            </a:graphic>
          </wp:inline>
        </w:drawing>
      </w:r>
    </w:p>
    <w:p w14:paraId="31970C87" w14:textId="2BAC54BE" w:rsidR="009A79D5" w:rsidRPr="0040251F" w:rsidRDefault="009A79D5"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b/>
          <w:bCs/>
          <w:color w:val="000000" w:themeColor="text1"/>
        </w:rPr>
        <w:t>Figure 1.</w:t>
      </w:r>
      <w:r w:rsidRPr="0040251F">
        <w:rPr>
          <w:rFonts w:asciiTheme="majorBidi" w:hAnsiTheme="majorBidi" w:cstheme="majorBidi"/>
          <w:color w:val="000000" w:themeColor="text1"/>
        </w:rPr>
        <w:t xml:space="preserve"> This figure demonstrates the location of the study area. </w:t>
      </w:r>
      <w:r w:rsidR="00BF785E" w:rsidRPr="0040251F">
        <w:rPr>
          <w:rFonts w:asciiTheme="majorBidi" w:hAnsiTheme="majorBidi" w:cstheme="majorBidi"/>
          <w:color w:val="000000" w:themeColor="text1"/>
        </w:rPr>
        <w:t>E</w:t>
      </w:r>
      <w:r w:rsidRPr="0040251F">
        <w:rPr>
          <w:rFonts w:asciiTheme="majorBidi" w:hAnsiTheme="majorBidi" w:cstheme="majorBidi"/>
          <w:color w:val="000000" w:themeColor="text1"/>
        </w:rPr>
        <w:t xml:space="preserve">xplain what this map entails, </w:t>
      </w:r>
      <w:r w:rsidR="00BF785E" w:rsidRPr="0040251F">
        <w:rPr>
          <w:rFonts w:asciiTheme="majorBidi" w:hAnsiTheme="majorBidi" w:cstheme="majorBidi"/>
          <w:color w:val="000000" w:themeColor="text1"/>
        </w:rPr>
        <w:t xml:space="preserve">and </w:t>
      </w:r>
      <w:r w:rsidRPr="0040251F">
        <w:rPr>
          <w:rFonts w:asciiTheme="majorBidi" w:hAnsiTheme="majorBidi" w:cstheme="majorBidi"/>
          <w:color w:val="000000" w:themeColor="text1"/>
        </w:rPr>
        <w:t>what are your showing in this map</w:t>
      </w:r>
      <w:r w:rsidR="00BF785E" w:rsidRPr="0040251F">
        <w:rPr>
          <w:rFonts w:asciiTheme="majorBidi" w:hAnsiTheme="majorBidi" w:cstheme="majorBidi"/>
          <w:color w:val="000000" w:themeColor="text1"/>
        </w:rPr>
        <w:t xml:space="preserve">. What inset map showing. </w:t>
      </w:r>
      <w:r w:rsidRPr="0040251F">
        <w:rPr>
          <w:rFonts w:asciiTheme="majorBidi" w:hAnsiTheme="majorBidi" w:cstheme="majorBidi"/>
          <w:color w:val="000000" w:themeColor="text1"/>
        </w:rPr>
        <w:t xml:space="preserve">You must explain each component in these maps so that the reader </w:t>
      </w:r>
      <w:r w:rsidR="001F2673" w:rsidRPr="0040251F">
        <w:rPr>
          <w:rFonts w:asciiTheme="majorBidi" w:hAnsiTheme="majorBidi" w:cstheme="majorBidi"/>
          <w:color w:val="000000" w:themeColor="text1"/>
        </w:rPr>
        <w:t>understands</w:t>
      </w:r>
      <w:r w:rsidRPr="0040251F">
        <w:rPr>
          <w:rFonts w:asciiTheme="majorBidi" w:hAnsiTheme="majorBidi" w:cstheme="majorBidi"/>
          <w:color w:val="000000" w:themeColor="text1"/>
        </w:rPr>
        <w:t xml:space="preserve"> it.</w:t>
      </w:r>
    </w:p>
    <w:p w14:paraId="34D2D6D5"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223CAB8C"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2.2 Data Collection</w:t>
      </w:r>
    </w:p>
    <w:p w14:paraId="0C8DEF5B" w14:textId="7777777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Data sources included satellite imagery, field surveys, and groundwater quality measurements. Remote sensing data was processed to derive surface reflectance patterns (Adams et al., 2020), while laboratory analyses provided detailed water quality metrics (Stewart, 2021).</w:t>
      </w:r>
    </w:p>
    <w:p w14:paraId="147C27A4"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3C243333"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2.3 Data Analysis</w:t>
      </w:r>
    </w:p>
    <w:p w14:paraId="53CD0DC2" w14:textId="430F7175"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Machine learning models, including Random Forest and Gradient Boosting, were employed to predict groundwater health risks (Anderson et al., 2021). Statistical analyses were conducted to validate the model outputs.</w:t>
      </w:r>
    </w:p>
    <w:p w14:paraId="2BF21B22"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7C95AA55"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3. Results</w:t>
      </w:r>
    </w:p>
    <w:p w14:paraId="14B47D70"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3.1 Spatial Analysis of Contamination</w:t>
      </w:r>
    </w:p>
    <w:p w14:paraId="390AE288" w14:textId="5B454E47" w:rsidR="0048732D"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 xml:space="preserve">Spatial analysis reveals significant clustering of groundwater contamination in urban areas (Fig. </w:t>
      </w:r>
      <w:r w:rsidR="0048732D" w:rsidRPr="0040251F">
        <w:rPr>
          <w:rFonts w:asciiTheme="majorBidi" w:hAnsiTheme="majorBidi" w:cstheme="majorBidi"/>
          <w:color w:val="000000" w:themeColor="text1"/>
        </w:rPr>
        <w:t>2</w:t>
      </w:r>
      <w:r w:rsidRPr="0040251F">
        <w:rPr>
          <w:rFonts w:asciiTheme="majorBidi" w:hAnsiTheme="majorBidi" w:cstheme="majorBidi"/>
          <w:color w:val="000000" w:themeColor="text1"/>
        </w:rPr>
        <w:t xml:space="preserve">). High contamination levels were detected in regions with impervious surfaces exceeding 70%, consistent with findings by Carter </w:t>
      </w:r>
      <w:r w:rsidR="00DB764A"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Johnson (2022).</w:t>
      </w:r>
    </w:p>
    <w:p w14:paraId="63578F61" w14:textId="77777777" w:rsidR="0007318D" w:rsidRPr="0040251F" w:rsidRDefault="0007318D" w:rsidP="0040251F">
      <w:pPr>
        <w:spacing w:after="120" w:line="276" w:lineRule="auto"/>
        <w:jc w:val="both"/>
        <w:rPr>
          <w:rFonts w:asciiTheme="majorBidi" w:hAnsiTheme="majorBidi" w:cstheme="majorBidi"/>
          <w:color w:val="000000" w:themeColor="text1"/>
        </w:rPr>
      </w:pPr>
    </w:p>
    <w:p w14:paraId="3CF99709" w14:textId="535C2BCA" w:rsidR="0048732D" w:rsidRPr="0040251F" w:rsidRDefault="0007318D"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noProof/>
          <w:color w:val="000000" w:themeColor="text1"/>
        </w:rPr>
        <w:lastRenderedPageBreak/>
        <w:drawing>
          <wp:inline distT="0" distB="0" distL="0" distR="0" wp14:anchorId="1208C545" wp14:editId="1BEE5CA1">
            <wp:extent cx="4663440" cy="2660430"/>
            <wp:effectExtent l="0" t="0" r="0" b="0"/>
            <wp:docPr id="46" name="Mai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in graphic"/>
                    <pic:cNvPicPr/>
                  </pic:nvPicPr>
                  <pic:blipFill>
                    <a:blip r:embed="rId12"/>
                    <a:stretch/>
                  </pic:blipFill>
                  <pic:spPr>
                    <a:xfrm>
                      <a:off x="0" y="0"/>
                      <a:ext cx="4663440" cy="2660430"/>
                    </a:xfrm>
                    <a:prstGeom prst="rect">
                      <a:avLst/>
                    </a:prstGeom>
                    <a:ln>
                      <a:noFill/>
                    </a:ln>
                  </pic:spPr>
                </pic:pic>
              </a:graphicData>
            </a:graphic>
          </wp:inline>
        </w:drawing>
      </w:r>
    </w:p>
    <w:p w14:paraId="31B189E2" w14:textId="280F92E6" w:rsidR="00E446C8" w:rsidRPr="0040251F" w:rsidRDefault="00D35B88" w:rsidP="0040251F">
      <w:pPr>
        <w:spacing w:after="120" w:line="276" w:lineRule="auto"/>
        <w:jc w:val="center"/>
        <w:rPr>
          <w:rFonts w:asciiTheme="majorBidi" w:hAnsiTheme="majorBidi" w:cstheme="majorBidi"/>
          <w:color w:val="000000" w:themeColor="text1"/>
        </w:rPr>
      </w:pPr>
      <w:r w:rsidRPr="0040251F">
        <w:rPr>
          <w:rFonts w:asciiTheme="majorBidi" w:hAnsiTheme="majorBidi" w:cstheme="majorBidi"/>
          <w:b/>
          <w:bCs/>
          <w:color w:val="000000" w:themeColor="text1"/>
        </w:rPr>
        <w:t xml:space="preserve">Figure 2. </w:t>
      </w:r>
      <w:r w:rsidRPr="0040251F">
        <w:rPr>
          <w:rFonts w:asciiTheme="majorBidi" w:hAnsiTheme="majorBidi" w:cstheme="majorBidi"/>
          <w:color w:val="000000" w:themeColor="text1"/>
        </w:rPr>
        <w:t xml:space="preserve">This figure demonstrates what. (a) explain what this map entails, and (b) explain legends and different land cover types. You must explain each component in these maps so that the reader understands it. Note: Authors must remember that these figures and tables are randomly selected and cited randomly without any scientific context rather to explain it. </w:t>
      </w:r>
    </w:p>
    <w:p w14:paraId="78834D14" w14:textId="77777777" w:rsidR="00CE10FA" w:rsidRPr="0040251F" w:rsidRDefault="00CE10FA" w:rsidP="0040251F">
      <w:pPr>
        <w:spacing w:after="120" w:line="276" w:lineRule="auto"/>
        <w:jc w:val="center"/>
        <w:rPr>
          <w:rFonts w:asciiTheme="majorBidi" w:hAnsiTheme="majorBidi" w:cstheme="majorBidi"/>
          <w:color w:val="000000" w:themeColor="text1"/>
        </w:rPr>
      </w:pPr>
    </w:p>
    <w:p w14:paraId="18FF9BA4"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3.2 Temporal Trends in Groundwater Quality</w:t>
      </w:r>
    </w:p>
    <w:p w14:paraId="2102A471" w14:textId="44F101ED"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 xml:space="preserve">Time-series analysis highlights seasonal variations in nitrate and arsenic levels (Table 1). These fluctuations align with changes in precipitation patterns and urban runoff, as observed in previous studies (Martinez </w:t>
      </w:r>
      <w:r w:rsidR="00DB764A"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Singh, 2020).</w:t>
      </w:r>
    </w:p>
    <w:p w14:paraId="538D51E1" w14:textId="0A576C8B" w:rsidR="00001F3B" w:rsidRPr="0040251F" w:rsidRDefault="00001F3B" w:rsidP="0040251F">
      <w:pPr>
        <w:spacing w:after="120" w:line="276" w:lineRule="auto"/>
        <w:ind w:firstLine="360"/>
        <w:jc w:val="both"/>
        <w:rPr>
          <w:rFonts w:asciiTheme="majorBidi" w:hAnsiTheme="majorBidi" w:cstheme="majorBidi"/>
          <w:color w:val="000000" w:themeColor="text1"/>
        </w:rPr>
      </w:pPr>
      <w:r w:rsidRPr="0040251F">
        <w:rPr>
          <w:rFonts w:asciiTheme="majorBidi" w:hAnsiTheme="majorBidi" w:cstheme="majorBidi"/>
          <w:color w:val="000000" w:themeColor="text1"/>
        </w:rPr>
        <w:t xml:space="preserve">Time-series analysis highlights seasonal variations in nitrate and arsenic levels. These fluctuations align with changes in precipitation patterns and urban runoff, as observed in previous studies (Martinez </w:t>
      </w:r>
      <w:r w:rsidR="00DB764A"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Singh, 2020).</w:t>
      </w:r>
    </w:p>
    <w:p w14:paraId="413393E8" w14:textId="59D1C74D" w:rsidR="00A85925" w:rsidRPr="0040251F" w:rsidRDefault="00A85925" w:rsidP="0040251F">
      <w:pPr>
        <w:spacing w:after="120" w:line="276" w:lineRule="auto"/>
        <w:jc w:val="both"/>
        <w:rPr>
          <w:rFonts w:asciiTheme="majorBidi" w:hAnsiTheme="majorBidi" w:cstheme="majorBidi"/>
          <w:color w:val="000000" w:themeColor="text1"/>
        </w:rPr>
      </w:pPr>
    </w:p>
    <w:tbl>
      <w:tblPr>
        <w:tblStyle w:val="TableGrid"/>
        <w:tblW w:w="0" w:type="auto"/>
        <w:tblLook w:val="04A0" w:firstRow="1" w:lastRow="0" w:firstColumn="1" w:lastColumn="0" w:noHBand="0" w:noVBand="1"/>
      </w:tblPr>
      <w:tblGrid>
        <w:gridCol w:w="1548"/>
        <w:gridCol w:w="1620"/>
        <w:gridCol w:w="1620"/>
        <w:gridCol w:w="1530"/>
        <w:gridCol w:w="2538"/>
      </w:tblGrid>
      <w:tr w:rsidR="00A85925" w:rsidRPr="0040251F" w14:paraId="76083CD4" w14:textId="77777777" w:rsidTr="00195F27">
        <w:tc>
          <w:tcPr>
            <w:tcW w:w="8856" w:type="dxa"/>
            <w:gridSpan w:val="5"/>
          </w:tcPr>
          <w:p w14:paraId="389CE4F4" w14:textId="58ABB2F2" w:rsidR="00A85925" w:rsidRPr="0040251F" w:rsidRDefault="00A85925"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b/>
                <w:bCs/>
                <w:color w:val="000000" w:themeColor="text1"/>
              </w:rPr>
              <w:t>Table 1.</w:t>
            </w:r>
            <w:r w:rsidRPr="0040251F">
              <w:rPr>
                <w:rFonts w:asciiTheme="majorBidi" w:hAnsiTheme="majorBidi" w:cstheme="majorBidi"/>
                <w:color w:val="000000" w:themeColor="text1"/>
              </w:rPr>
              <w:t xml:space="preserve"> </w:t>
            </w:r>
            <w:r w:rsidRPr="0040251F">
              <w:rPr>
                <w:rFonts w:asciiTheme="majorBidi" w:hAnsiTheme="majorBidi" w:cstheme="majorBidi"/>
              </w:rPr>
              <w:t>Variations in groundwater chemical compositions.</w:t>
            </w:r>
          </w:p>
        </w:tc>
      </w:tr>
      <w:tr w:rsidR="00A85925" w:rsidRPr="0040251F" w14:paraId="4B838EDC" w14:textId="77777777" w:rsidTr="00195F27">
        <w:tc>
          <w:tcPr>
            <w:tcW w:w="1548" w:type="dxa"/>
          </w:tcPr>
          <w:p w14:paraId="35128934" w14:textId="0001D7C0" w:rsidR="00A85925" w:rsidRPr="0040251F" w:rsidRDefault="00A85925"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Parameters</w:t>
            </w:r>
          </w:p>
        </w:tc>
        <w:tc>
          <w:tcPr>
            <w:tcW w:w="1620" w:type="dxa"/>
          </w:tcPr>
          <w:p w14:paraId="232650DB" w14:textId="1BE97743"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Range</w:t>
            </w:r>
          </w:p>
        </w:tc>
        <w:tc>
          <w:tcPr>
            <w:tcW w:w="1620" w:type="dxa"/>
          </w:tcPr>
          <w:p w14:paraId="0FF8A78B" w14:textId="26DE194A"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Mean</w:t>
            </w:r>
          </w:p>
        </w:tc>
        <w:tc>
          <w:tcPr>
            <w:tcW w:w="1530" w:type="dxa"/>
          </w:tcPr>
          <w:p w14:paraId="51404BFF" w14:textId="4E701E35"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Median</w:t>
            </w:r>
          </w:p>
        </w:tc>
        <w:tc>
          <w:tcPr>
            <w:tcW w:w="2538" w:type="dxa"/>
          </w:tcPr>
          <w:p w14:paraId="2AB060F0" w14:textId="6AE95D88"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Standard Deviation</w:t>
            </w:r>
          </w:p>
        </w:tc>
      </w:tr>
      <w:tr w:rsidR="00A85925" w:rsidRPr="0040251F" w14:paraId="5B31BB7F" w14:textId="77777777" w:rsidTr="00195F27">
        <w:tc>
          <w:tcPr>
            <w:tcW w:w="1548" w:type="dxa"/>
          </w:tcPr>
          <w:p w14:paraId="110C6631" w14:textId="45190AD2" w:rsidR="00A85925" w:rsidRPr="0040251F" w:rsidRDefault="00A85925"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As</w:t>
            </w:r>
            <w:r w:rsidR="0045381B" w:rsidRPr="0040251F">
              <w:rPr>
                <w:rFonts w:asciiTheme="majorBidi" w:hAnsiTheme="majorBidi" w:cstheme="majorBidi"/>
                <w:color w:val="000000" w:themeColor="text1"/>
              </w:rPr>
              <w:t xml:space="preserve"> (ppb)</w:t>
            </w:r>
          </w:p>
        </w:tc>
        <w:tc>
          <w:tcPr>
            <w:tcW w:w="1620" w:type="dxa"/>
          </w:tcPr>
          <w:p w14:paraId="23B9183B" w14:textId="54FED1A9"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0-120</w:t>
            </w:r>
          </w:p>
        </w:tc>
        <w:tc>
          <w:tcPr>
            <w:tcW w:w="1620" w:type="dxa"/>
          </w:tcPr>
          <w:p w14:paraId="0EE34C47" w14:textId="1994909A"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54</w:t>
            </w:r>
          </w:p>
        </w:tc>
        <w:tc>
          <w:tcPr>
            <w:tcW w:w="1530" w:type="dxa"/>
          </w:tcPr>
          <w:p w14:paraId="40F20627" w14:textId="52859A4C"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45</w:t>
            </w:r>
          </w:p>
        </w:tc>
        <w:tc>
          <w:tcPr>
            <w:tcW w:w="2538" w:type="dxa"/>
          </w:tcPr>
          <w:p w14:paraId="1FE2CF27" w14:textId="55A1D706"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25</w:t>
            </w:r>
          </w:p>
        </w:tc>
      </w:tr>
      <w:tr w:rsidR="00A85925" w:rsidRPr="0040251F" w14:paraId="54E62FDF" w14:textId="77777777" w:rsidTr="00195F27">
        <w:tc>
          <w:tcPr>
            <w:tcW w:w="1548" w:type="dxa"/>
          </w:tcPr>
          <w:p w14:paraId="1DF2D70C" w14:textId="7D779775" w:rsidR="00A85925" w:rsidRPr="0040251F" w:rsidRDefault="00A85925"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Fe</w:t>
            </w:r>
            <w:r w:rsidR="0045381B" w:rsidRPr="0040251F">
              <w:rPr>
                <w:rFonts w:asciiTheme="majorBidi" w:hAnsiTheme="majorBidi" w:cstheme="majorBidi"/>
                <w:color w:val="000000" w:themeColor="text1"/>
              </w:rPr>
              <w:t xml:space="preserve"> (ppm)</w:t>
            </w:r>
          </w:p>
        </w:tc>
        <w:tc>
          <w:tcPr>
            <w:tcW w:w="1620" w:type="dxa"/>
          </w:tcPr>
          <w:p w14:paraId="0830AE05" w14:textId="23C03C43"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0.5 - 10</w:t>
            </w:r>
          </w:p>
        </w:tc>
        <w:tc>
          <w:tcPr>
            <w:tcW w:w="1620" w:type="dxa"/>
          </w:tcPr>
          <w:p w14:paraId="4E90B44E" w14:textId="61F8302D"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4.5</w:t>
            </w:r>
          </w:p>
        </w:tc>
        <w:tc>
          <w:tcPr>
            <w:tcW w:w="1530" w:type="dxa"/>
          </w:tcPr>
          <w:p w14:paraId="206200E9" w14:textId="2E096904"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3.4</w:t>
            </w:r>
          </w:p>
        </w:tc>
        <w:tc>
          <w:tcPr>
            <w:tcW w:w="2538" w:type="dxa"/>
          </w:tcPr>
          <w:p w14:paraId="6AC9A5B0" w14:textId="63F5F83E" w:rsidR="00A85925" w:rsidRPr="0040251F" w:rsidRDefault="0045381B"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2.3</w:t>
            </w:r>
          </w:p>
        </w:tc>
      </w:tr>
      <w:tr w:rsidR="00A85925" w:rsidRPr="0040251F" w14:paraId="405B3317" w14:textId="77777777" w:rsidTr="00195F27">
        <w:tc>
          <w:tcPr>
            <w:tcW w:w="8856" w:type="dxa"/>
            <w:gridSpan w:val="5"/>
          </w:tcPr>
          <w:p w14:paraId="59E8503E" w14:textId="0F13860D" w:rsidR="00A85925" w:rsidRPr="0040251F" w:rsidRDefault="00A85925"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Notes: If any.</w:t>
            </w:r>
          </w:p>
        </w:tc>
      </w:tr>
    </w:tbl>
    <w:p w14:paraId="3E1F92B4"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7D6B4FEC"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lastRenderedPageBreak/>
        <w:t>4. Discussion</w:t>
      </w:r>
    </w:p>
    <w:p w14:paraId="18E61EE0"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4.1 Implications for Urban Planning</w:t>
      </w:r>
    </w:p>
    <w:p w14:paraId="4F3B40E1" w14:textId="637BDE34"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The findings underscore the need for urban planning strategies that prioritize groundwater protection</w:t>
      </w:r>
      <w:r w:rsidR="00D35B88" w:rsidRPr="0040251F">
        <w:rPr>
          <w:rFonts w:asciiTheme="majorBidi" w:hAnsiTheme="majorBidi" w:cstheme="majorBidi"/>
          <w:color w:val="000000" w:themeColor="text1"/>
        </w:rPr>
        <w:t xml:space="preserve"> (Fig. 2a)</w:t>
      </w:r>
      <w:r w:rsidRPr="0040251F">
        <w:rPr>
          <w:rFonts w:asciiTheme="majorBidi" w:hAnsiTheme="majorBidi" w:cstheme="majorBidi"/>
          <w:color w:val="000000" w:themeColor="text1"/>
        </w:rPr>
        <w:t>. Implementing green infrastructure and reducing impervious surfaces can mitigate contamination risks, as suggested by Anderson et al. (2021).</w:t>
      </w:r>
    </w:p>
    <w:p w14:paraId="1AB3960A"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2F34D8D9" w14:textId="77777777" w:rsidR="0056459B" w:rsidRPr="0040251F" w:rsidRDefault="00156483" w:rsidP="0040251F">
      <w:pPr>
        <w:pStyle w:val="Heading2"/>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4.2 Limitations and Future Research</w:t>
      </w:r>
    </w:p>
    <w:p w14:paraId="196FBFE5" w14:textId="17BA7275"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While this study provides valuable insights, data limitations and unobserved variables present challenges</w:t>
      </w:r>
      <w:r w:rsidR="00D35B88" w:rsidRPr="0040251F">
        <w:rPr>
          <w:rFonts w:asciiTheme="majorBidi" w:hAnsiTheme="majorBidi" w:cstheme="majorBidi"/>
          <w:color w:val="000000" w:themeColor="text1"/>
        </w:rPr>
        <w:t xml:space="preserve"> (Fig. 2b)</w:t>
      </w:r>
      <w:r w:rsidRPr="0040251F">
        <w:rPr>
          <w:rFonts w:asciiTheme="majorBidi" w:hAnsiTheme="majorBidi" w:cstheme="majorBidi"/>
          <w:color w:val="000000" w:themeColor="text1"/>
        </w:rPr>
        <w:t xml:space="preserve">. Future research should incorporate high-resolution datasets and explore additional environmental factors (Brown </w:t>
      </w:r>
      <w:r w:rsidR="00DB764A" w:rsidRPr="0040251F">
        <w:rPr>
          <w:rFonts w:asciiTheme="majorBidi" w:hAnsiTheme="majorBidi" w:cstheme="majorBidi"/>
          <w:color w:val="000000" w:themeColor="text1"/>
        </w:rPr>
        <w:t>and</w:t>
      </w:r>
      <w:r w:rsidRPr="0040251F">
        <w:rPr>
          <w:rFonts w:asciiTheme="majorBidi" w:hAnsiTheme="majorBidi" w:cstheme="majorBidi"/>
          <w:color w:val="000000" w:themeColor="text1"/>
        </w:rPr>
        <w:t xml:space="preserve"> Lee, 2023).</w:t>
      </w:r>
    </w:p>
    <w:p w14:paraId="48F54247"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6F217D78"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5. Conclusions</w:t>
      </w:r>
    </w:p>
    <w:p w14:paraId="72D75728" w14:textId="2303FA51"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This study underscores the need for proactive urban planning to mitigate groundwater contamination. Geospatial machine learning offers a powerful approach to assess and manage environmental health risks in urban areas.</w:t>
      </w:r>
    </w:p>
    <w:p w14:paraId="5980462C"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4A378F65"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6. Author Contributions</w:t>
      </w:r>
    </w:p>
    <w:p w14:paraId="5084E4E4" w14:textId="510045C6"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 xml:space="preserve">John Doe conceptualized the study, conducted the data analysis, and wrote the manuscript. Jane Smith </w:t>
      </w:r>
      <w:r w:rsidR="00A51415" w:rsidRPr="0040251F">
        <w:rPr>
          <w:rFonts w:asciiTheme="majorBidi" w:hAnsiTheme="majorBidi" w:cstheme="majorBidi"/>
          <w:color w:val="000000" w:themeColor="text1"/>
        </w:rPr>
        <w:t xml:space="preserve">conducted </w:t>
      </w:r>
      <w:r w:rsidRPr="0040251F">
        <w:rPr>
          <w:rFonts w:asciiTheme="majorBidi" w:hAnsiTheme="majorBidi" w:cstheme="majorBidi"/>
          <w:color w:val="000000" w:themeColor="text1"/>
        </w:rPr>
        <w:t xml:space="preserve">machine learning </w:t>
      </w:r>
      <w:r w:rsidR="00DB764A" w:rsidRPr="0040251F">
        <w:rPr>
          <w:rFonts w:asciiTheme="majorBidi" w:hAnsiTheme="majorBidi" w:cstheme="majorBidi"/>
          <w:color w:val="000000" w:themeColor="text1"/>
        </w:rPr>
        <w:t>methodologies and</w:t>
      </w:r>
      <w:r w:rsidR="00A51415" w:rsidRPr="0040251F">
        <w:rPr>
          <w:rFonts w:asciiTheme="majorBidi" w:hAnsiTheme="majorBidi" w:cstheme="majorBidi"/>
          <w:color w:val="000000" w:themeColor="text1"/>
        </w:rPr>
        <w:t xml:space="preserve"> </w:t>
      </w:r>
      <w:r w:rsidRPr="0040251F">
        <w:rPr>
          <w:rFonts w:asciiTheme="majorBidi" w:hAnsiTheme="majorBidi" w:cstheme="majorBidi"/>
          <w:color w:val="000000" w:themeColor="text1"/>
        </w:rPr>
        <w:t>assisted with the interpretation of results. Both authors approved the final version of the manuscript.</w:t>
      </w:r>
    </w:p>
    <w:p w14:paraId="6A6CFD62" w14:textId="77777777" w:rsidR="00F12D71" w:rsidRPr="0040251F" w:rsidRDefault="00F12D71" w:rsidP="0040251F">
      <w:pPr>
        <w:spacing w:after="120" w:line="276" w:lineRule="auto"/>
        <w:jc w:val="both"/>
        <w:rPr>
          <w:rFonts w:asciiTheme="majorBidi" w:hAnsiTheme="majorBidi" w:cstheme="majorBidi"/>
          <w:color w:val="000000" w:themeColor="text1"/>
        </w:rPr>
      </w:pPr>
    </w:p>
    <w:p w14:paraId="154DD872"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7. Conflict of Interest</w:t>
      </w:r>
    </w:p>
    <w:p w14:paraId="66754A2E" w14:textId="7777777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The authors declare no conflict of interest related to this study.</w:t>
      </w:r>
    </w:p>
    <w:p w14:paraId="0DF50174"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3CABAC77"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8. Ethics Statement</w:t>
      </w:r>
    </w:p>
    <w:p w14:paraId="21041E55" w14:textId="7777777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This study does not involve human or animal subjects. Ethical approval was not required for this research. All data used were publicly available or obtained through proper channels, with consent where applicable.</w:t>
      </w:r>
    </w:p>
    <w:p w14:paraId="17D5D8EA"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360C7932"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lastRenderedPageBreak/>
        <w:t>9. Supplementary Data</w:t>
      </w:r>
    </w:p>
    <w:p w14:paraId="17925699" w14:textId="7777777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The supplementary data, including raw data files and code used for analysis, are available upon request from the corresponding author. Additional resources, such as spatial data and model parameters, can be accessed on the journal’s website.</w:t>
      </w:r>
    </w:p>
    <w:p w14:paraId="6B0FECEC"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6410E07B"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Acknowledgments</w:t>
      </w:r>
    </w:p>
    <w:p w14:paraId="7680B1A9" w14:textId="77777777" w:rsidR="0056459B" w:rsidRPr="0040251F" w:rsidRDefault="00156483" w:rsidP="0040251F">
      <w:pPr>
        <w:spacing w:after="120" w:line="276" w:lineRule="auto"/>
        <w:jc w:val="both"/>
        <w:rPr>
          <w:rFonts w:asciiTheme="majorBidi" w:hAnsiTheme="majorBidi" w:cstheme="majorBidi"/>
          <w:color w:val="000000" w:themeColor="text1"/>
        </w:rPr>
      </w:pPr>
      <w:r w:rsidRPr="0040251F">
        <w:rPr>
          <w:rFonts w:asciiTheme="majorBidi" w:hAnsiTheme="majorBidi" w:cstheme="majorBidi"/>
          <w:color w:val="000000" w:themeColor="text1"/>
        </w:rPr>
        <w:t>The authors thank XYZ University and ABC Institute for providing resources and support. Funding was provided by the National Research Council.</w:t>
      </w:r>
    </w:p>
    <w:p w14:paraId="58E6E62D" w14:textId="77777777" w:rsidR="00E446C8" w:rsidRPr="0040251F" w:rsidRDefault="00E446C8" w:rsidP="0040251F">
      <w:pPr>
        <w:spacing w:after="120" w:line="276" w:lineRule="auto"/>
        <w:jc w:val="both"/>
        <w:rPr>
          <w:rFonts w:asciiTheme="majorBidi" w:hAnsiTheme="majorBidi" w:cstheme="majorBidi"/>
          <w:color w:val="000000" w:themeColor="text1"/>
        </w:rPr>
      </w:pPr>
    </w:p>
    <w:p w14:paraId="422C9E93" w14:textId="77777777" w:rsidR="0056459B" w:rsidRPr="0040251F" w:rsidRDefault="00156483" w:rsidP="0040251F">
      <w:pPr>
        <w:pStyle w:val="Heading1"/>
        <w:spacing w:before="0" w:after="120"/>
        <w:jc w:val="both"/>
        <w:rPr>
          <w:rFonts w:asciiTheme="majorBidi" w:hAnsiTheme="majorBidi"/>
          <w:color w:val="000000" w:themeColor="text1"/>
          <w:sz w:val="24"/>
          <w:szCs w:val="24"/>
        </w:rPr>
      </w:pPr>
      <w:r w:rsidRPr="0040251F">
        <w:rPr>
          <w:rFonts w:asciiTheme="majorBidi" w:hAnsiTheme="majorBidi"/>
          <w:color w:val="000000" w:themeColor="text1"/>
          <w:sz w:val="24"/>
          <w:szCs w:val="24"/>
        </w:rPr>
        <w:t>References</w:t>
      </w:r>
    </w:p>
    <w:p w14:paraId="03F707FC" w14:textId="77777777" w:rsidR="00AA262D" w:rsidRDefault="00AA262D" w:rsidP="00C46305">
      <w:pPr>
        <w:spacing w:after="120" w:line="276" w:lineRule="auto"/>
        <w:ind w:left="360" w:hanging="360"/>
        <w:rPr>
          <w:rFonts w:asciiTheme="majorBidi" w:hAnsiTheme="majorBidi" w:cstheme="majorBidi"/>
        </w:rPr>
      </w:pPr>
      <w:proofErr w:type="spellStart"/>
      <w:r w:rsidRPr="0040251F">
        <w:rPr>
          <w:rFonts w:asciiTheme="majorBidi" w:hAnsiTheme="majorBidi" w:cstheme="majorBidi"/>
        </w:rPr>
        <w:t>Abidli</w:t>
      </w:r>
      <w:proofErr w:type="spellEnd"/>
      <w:r w:rsidRPr="0040251F">
        <w:rPr>
          <w:rFonts w:asciiTheme="majorBidi" w:hAnsiTheme="majorBidi" w:cstheme="majorBidi"/>
        </w:rPr>
        <w:t xml:space="preserve">, S., Toumi, H., Lahbib, Y., Trigui El </w:t>
      </w:r>
      <w:proofErr w:type="spellStart"/>
      <w:r w:rsidRPr="0040251F">
        <w:rPr>
          <w:rFonts w:asciiTheme="majorBidi" w:hAnsiTheme="majorBidi" w:cstheme="majorBidi"/>
        </w:rPr>
        <w:t>Menif</w:t>
      </w:r>
      <w:proofErr w:type="spellEnd"/>
      <w:r w:rsidRPr="0040251F">
        <w:rPr>
          <w:rFonts w:asciiTheme="majorBidi" w:hAnsiTheme="majorBidi" w:cstheme="majorBidi"/>
        </w:rPr>
        <w:t xml:space="preserve">, N., 2017. The first evaluation of microplastics in sediments from the complex lagoon-channel of Bizerte (Northern Tunisia). Water, Air and Soil Pollution, 228, 1–10. </w:t>
      </w:r>
      <w:hyperlink r:id="rId13" w:history="1">
        <w:r w:rsidRPr="0040251F">
          <w:rPr>
            <w:rStyle w:val="Hyperlink"/>
            <w:rFonts w:asciiTheme="majorBidi" w:hAnsiTheme="majorBidi" w:cstheme="majorBidi"/>
          </w:rPr>
          <w:t>https://doi.org/10.1007/s11270-017-3439-9</w:t>
        </w:r>
      </w:hyperlink>
    </w:p>
    <w:p w14:paraId="36F9FF8D" w14:textId="77777777" w:rsidR="00AA262D" w:rsidRDefault="00AA262D" w:rsidP="00C46305">
      <w:pPr>
        <w:spacing w:after="120" w:line="276" w:lineRule="auto"/>
        <w:ind w:left="360" w:hanging="360"/>
        <w:rPr>
          <w:rFonts w:asciiTheme="majorBidi" w:hAnsiTheme="majorBidi" w:cstheme="majorBidi"/>
        </w:rPr>
      </w:pPr>
      <w:r w:rsidRPr="0040251F">
        <w:rPr>
          <w:rFonts w:asciiTheme="majorBidi" w:hAnsiTheme="majorBidi" w:cstheme="majorBidi"/>
        </w:rPr>
        <w:t xml:space="preserve">Badejo, O.T., Olaleye, J.B., </w:t>
      </w:r>
      <w:proofErr w:type="spellStart"/>
      <w:r w:rsidRPr="0040251F">
        <w:rPr>
          <w:rFonts w:asciiTheme="majorBidi" w:hAnsiTheme="majorBidi" w:cstheme="majorBidi"/>
        </w:rPr>
        <w:t>Alademomi</w:t>
      </w:r>
      <w:proofErr w:type="spellEnd"/>
      <w:r w:rsidRPr="0040251F">
        <w:rPr>
          <w:rFonts w:asciiTheme="majorBidi" w:hAnsiTheme="majorBidi" w:cstheme="majorBidi"/>
        </w:rPr>
        <w:t xml:space="preserve">, A.S., 2014. Tidal characteristics and sounding datum variation in Lagos state. University of Lagos. </w:t>
      </w:r>
      <w:hyperlink r:id="rId14" w:history="1">
        <w:r w:rsidRPr="0040251F">
          <w:rPr>
            <w:rStyle w:val="Hyperlink"/>
            <w:rFonts w:asciiTheme="majorBidi" w:hAnsiTheme="majorBidi" w:cstheme="majorBidi"/>
          </w:rPr>
          <w:t>https://ir.unilag.edu.ng/handle/123456789/5360</w:t>
        </w:r>
      </w:hyperlink>
    </w:p>
    <w:p w14:paraId="2FCD961F" w14:textId="77777777" w:rsidR="00AA262D" w:rsidRDefault="00AA262D" w:rsidP="00C46305">
      <w:pPr>
        <w:spacing w:after="120" w:line="276" w:lineRule="auto"/>
        <w:ind w:left="360" w:hanging="360"/>
        <w:rPr>
          <w:rFonts w:asciiTheme="majorBidi" w:hAnsiTheme="majorBidi" w:cstheme="majorBidi"/>
        </w:rPr>
      </w:pPr>
      <w:r w:rsidRPr="0040251F">
        <w:rPr>
          <w:rFonts w:asciiTheme="majorBidi" w:hAnsiTheme="majorBidi" w:cstheme="majorBidi"/>
        </w:rPr>
        <w:t xml:space="preserve">Chen, S., Lou, S., Yang, Z., Liu, S., 2024. Characteristics of organic carbon distributions in tidal wetland of the Yangtze River Estuary. In: International Conference on Offshore Mechanics and Arctic Engineering (Vol. 87783, p. V001T01A052). American Society of Mechanical Engineers. </w:t>
      </w:r>
      <w:hyperlink r:id="rId15" w:history="1">
        <w:r w:rsidRPr="0040251F">
          <w:rPr>
            <w:rStyle w:val="Hyperlink"/>
            <w:rFonts w:asciiTheme="majorBidi" w:hAnsiTheme="majorBidi" w:cstheme="majorBidi"/>
          </w:rPr>
          <w:t>https://doi.org/10.1115/OMAE2024-126253</w:t>
        </w:r>
      </w:hyperlink>
    </w:p>
    <w:p w14:paraId="7D04EB31" w14:textId="77777777" w:rsidR="00AA262D" w:rsidRPr="00C46305" w:rsidRDefault="00AA262D" w:rsidP="00C46305">
      <w:pPr>
        <w:spacing w:after="120" w:line="276" w:lineRule="auto"/>
        <w:ind w:left="360" w:hanging="360"/>
        <w:rPr>
          <w:rFonts w:asciiTheme="majorBidi" w:hAnsiTheme="majorBidi" w:cstheme="majorBidi"/>
        </w:rPr>
      </w:pPr>
      <w:r w:rsidRPr="0040251F">
        <w:rPr>
          <w:rFonts w:asciiTheme="majorBidi" w:hAnsiTheme="majorBidi" w:cstheme="majorBidi"/>
        </w:rPr>
        <w:t xml:space="preserve">Porta, R., 2021. Anthropocene, the plastic age and future perspectives. FEBS Open Bio, 11, 948–953. </w:t>
      </w:r>
      <w:hyperlink r:id="rId16" w:history="1">
        <w:r w:rsidRPr="0040251F">
          <w:rPr>
            <w:rStyle w:val="Hyperlink"/>
            <w:rFonts w:asciiTheme="majorBidi" w:hAnsiTheme="majorBidi" w:cstheme="majorBidi"/>
          </w:rPr>
          <w:t>https://doi.org/10.1002/2211-5463.13122</w:t>
        </w:r>
      </w:hyperlink>
      <w:r w:rsidRPr="0040251F">
        <w:rPr>
          <w:rFonts w:asciiTheme="majorBidi" w:hAnsiTheme="majorBidi" w:cstheme="majorBidi"/>
        </w:rPr>
        <w:t xml:space="preserve"> [accessed on October 26, 2025]</w:t>
      </w:r>
    </w:p>
    <w:p w14:paraId="40BF9F07" w14:textId="77777777" w:rsidR="00AA262D" w:rsidRDefault="00AA262D" w:rsidP="00C46305">
      <w:pPr>
        <w:spacing w:after="120" w:line="276" w:lineRule="auto"/>
        <w:ind w:left="360" w:hanging="360"/>
        <w:rPr>
          <w:rFonts w:asciiTheme="majorBidi" w:hAnsiTheme="majorBidi" w:cstheme="majorBidi"/>
        </w:rPr>
      </w:pPr>
      <w:r w:rsidRPr="0040251F">
        <w:rPr>
          <w:rFonts w:asciiTheme="majorBidi" w:hAnsiTheme="majorBidi" w:cstheme="majorBidi"/>
        </w:rPr>
        <w:t xml:space="preserve">Rochman, C.M., 2015. The complex mixture, fate and toxicity of chemicals associated with plastic debris in the marine environment. In: Bergmann, M., Gutow, L., Klages, M. (eds) Marine Anthropogenic Litter. Springer, Cham. </w:t>
      </w:r>
      <w:hyperlink r:id="rId17" w:history="1">
        <w:r w:rsidRPr="0040251F">
          <w:rPr>
            <w:rStyle w:val="Hyperlink"/>
            <w:rFonts w:asciiTheme="majorBidi" w:hAnsiTheme="majorBidi" w:cstheme="majorBidi"/>
          </w:rPr>
          <w:t>https://doi.org/10.1007/978-3-319-16510-3_5</w:t>
        </w:r>
      </w:hyperlink>
    </w:p>
    <w:p w14:paraId="12449C7F" w14:textId="77777777" w:rsidR="00AA262D" w:rsidRDefault="00AA262D" w:rsidP="00C46305">
      <w:pPr>
        <w:spacing w:after="120" w:line="276" w:lineRule="auto"/>
        <w:ind w:left="360" w:hanging="360"/>
        <w:rPr>
          <w:rFonts w:asciiTheme="majorBidi" w:hAnsiTheme="majorBidi" w:cstheme="majorBidi"/>
        </w:rPr>
      </w:pPr>
      <w:r w:rsidRPr="0040251F">
        <w:rPr>
          <w:rFonts w:asciiTheme="majorBidi" w:hAnsiTheme="majorBidi" w:cstheme="majorBidi"/>
        </w:rPr>
        <w:t>U.S. Environmental Protection Agency, 1998. Method 9050A: Electrical conductivity measurement. U.S. Environmental Protection Agency.</w:t>
      </w:r>
    </w:p>
    <w:p w14:paraId="6D347C84" w14:textId="77777777" w:rsidR="00AA262D" w:rsidRPr="0040251F" w:rsidRDefault="00AA262D" w:rsidP="00C46305">
      <w:pPr>
        <w:spacing w:after="120" w:line="276" w:lineRule="auto"/>
        <w:ind w:left="360" w:hanging="360"/>
        <w:jc w:val="both"/>
        <w:rPr>
          <w:rFonts w:asciiTheme="majorBidi" w:hAnsiTheme="majorBidi" w:cstheme="majorBidi"/>
          <w:color w:val="000000" w:themeColor="text1"/>
        </w:rPr>
      </w:pPr>
      <w:r w:rsidRPr="0040251F">
        <w:rPr>
          <w:rFonts w:asciiTheme="majorBidi" w:hAnsiTheme="majorBidi" w:cstheme="majorBidi"/>
          <w:color w:val="000000" w:themeColor="text1"/>
        </w:rPr>
        <w:t>White, C., Patel, S., 2019. Introduction to Hydrogeology. Oxford: Oxford University Press, UK.</w:t>
      </w:r>
    </w:p>
    <w:sectPr w:rsidR="00AA262D" w:rsidRPr="0040251F" w:rsidSect="00E446C8">
      <w:footerReference w:type="even" r:id="rId18"/>
      <w:footerReference w:type="default" r:id="rId19"/>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428DD" w14:textId="77777777" w:rsidR="00955A63" w:rsidRDefault="00955A63" w:rsidP="0004580A">
      <w:r>
        <w:separator/>
      </w:r>
    </w:p>
  </w:endnote>
  <w:endnote w:type="continuationSeparator" w:id="0">
    <w:p w14:paraId="5949CC5F" w14:textId="77777777" w:rsidR="00955A63" w:rsidRDefault="00955A63" w:rsidP="0004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Times">
    <w:altName w:val="Sylfae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4118736"/>
      <w:docPartObj>
        <w:docPartGallery w:val="Page Numbers (Bottom of Page)"/>
        <w:docPartUnique/>
      </w:docPartObj>
    </w:sdtPr>
    <w:sdtContent>
      <w:p w14:paraId="03F259A3" w14:textId="66E7F2E4" w:rsidR="0004580A" w:rsidRDefault="0004580A" w:rsidP="000458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EF5DE8" w14:textId="77777777" w:rsidR="0004580A" w:rsidRDefault="0004580A" w:rsidP="000458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33283"/>
      <w:docPartObj>
        <w:docPartGallery w:val="Page Numbers (Bottom of Page)"/>
        <w:docPartUnique/>
      </w:docPartObj>
    </w:sdtPr>
    <w:sdtEndPr>
      <w:rPr>
        <w:rStyle w:val="PageNumber"/>
        <w:rFonts w:asciiTheme="majorHAnsi" w:hAnsiTheme="majorHAnsi" w:cstheme="majorHAnsi"/>
      </w:rPr>
    </w:sdtEndPr>
    <w:sdtContent>
      <w:p w14:paraId="001B4EB4" w14:textId="1B7B1747" w:rsidR="0004580A" w:rsidRPr="0004580A" w:rsidRDefault="0004580A" w:rsidP="0004580A">
        <w:pPr>
          <w:pStyle w:val="Footer"/>
          <w:framePr w:wrap="none" w:vAnchor="text" w:hAnchor="margin" w:xAlign="center" w:y="1"/>
          <w:rPr>
            <w:rStyle w:val="PageNumber"/>
            <w:rFonts w:asciiTheme="majorHAnsi" w:hAnsiTheme="majorHAnsi" w:cstheme="majorHAnsi"/>
          </w:rPr>
        </w:pPr>
        <w:r w:rsidRPr="0004580A">
          <w:rPr>
            <w:rStyle w:val="PageNumber"/>
            <w:rFonts w:asciiTheme="majorHAnsi" w:hAnsiTheme="majorHAnsi" w:cstheme="majorHAnsi"/>
          </w:rPr>
          <w:fldChar w:fldCharType="begin"/>
        </w:r>
        <w:r w:rsidRPr="0004580A">
          <w:rPr>
            <w:rStyle w:val="PageNumber"/>
            <w:rFonts w:asciiTheme="majorHAnsi" w:hAnsiTheme="majorHAnsi" w:cstheme="majorHAnsi"/>
          </w:rPr>
          <w:instrText xml:space="preserve"> PAGE </w:instrText>
        </w:r>
        <w:r w:rsidRPr="0004580A">
          <w:rPr>
            <w:rStyle w:val="PageNumber"/>
            <w:rFonts w:asciiTheme="majorHAnsi" w:hAnsiTheme="majorHAnsi" w:cstheme="majorHAnsi"/>
          </w:rPr>
          <w:fldChar w:fldCharType="separate"/>
        </w:r>
        <w:r w:rsidRPr="0004580A">
          <w:rPr>
            <w:rStyle w:val="PageNumber"/>
            <w:rFonts w:asciiTheme="majorHAnsi" w:hAnsiTheme="majorHAnsi" w:cstheme="majorHAnsi"/>
            <w:noProof/>
          </w:rPr>
          <w:t>1</w:t>
        </w:r>
        <w:r w:rsidRPr="0004580A">
          <w:rPr>
            <w:rStyle w:val="PageNumber"/>
            <w:rFonts w:asciiTheme="majorHAnsi" w:hAnsiTheme="majorHAnsi" w:cstheme="majorHAnsi"/>
          </w:rPr>
          <w:fldChar w:fldCharType="end"/>
        </w:r>
      </w:p>
    </w:sdtContent>
  </w:sdt>
  <w:p w14:paraId="21C43B15" w14:textId="77777777" w:rsidR="0004580A" w:rsidRPr="0004580A" w:rsidRDefault="0004580A" w:rsidP="0004580A">
    <w:pPr>
      <w:pStyle w:val="Footer"/>
      <w:ind w:right="360"/>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FD5B1" w14:textId="77777777" w:rsidR="00955A63" w:rsidRDefault="00955A63" w:rsidP="0004580A">
      <w:r>
        <w:separator/>
      </w:r>
    </w:p>
  </w:footnote>
  <w:footnote w:type="continuationSeparator" w:id="0">
    <w:p w14:paraId="20B9790E" w14:textId="77777777" w:rsidR="00955A63" w:rsidRDefault="00955A63" w:rsidP="000458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5546BA"/>
    <w:multiLevelType w:val="multilevel"/>
    <w:tmpl w:val="1F64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F660BD"/>
    <w:multiLevelType w:val="hybridMultilevel"/>
    <w:tmpl w:val="0298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A22B7"/>
    <w:multiLevelType w:val="hybridMultilevel"/>
    <w:tmpl w:val="F2B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106193">
    <w:abstractNumId w:val="8"/>
  </w:num>
  <w:num w:numId="2" w16cid:durableId="2120491865">
    <w:abstractNumId w:val="6"/>
  </w:num>
  <w:num w:numId="3" w16cid:durableId="104231188">
    <w:abstractNumId w:val="5"/>
  </w:num>
  <w:num w:numId="4" w16cid:durableId="318003263">
    <w:abstractNumId w:val="4"/>
  </w:num>
  <w:num w:numId="5" w16cid:durableId="610161796">
    <w:abstractNumId w:val="7"/>
  </w:num>
  <w:num w:numId="6" w16cid:durableId="1805536517">
    <w:abstractNumId w:val="3"/>
  </w:num>
  <w:num w:numId="7" w16cid:durableId="2076733679">
    <w:abstractNumId w:val="2"/>
  </w:num>
  <w:num w:numId="8" w16cid:durableId="1955208025">
    <w:abstractNumId w:val="1"/>
  </w:num>
  <w:num w:numId="9" w16cid:durableId="325398275">
    <w:abstractNumId w:val="0"/>
  </w:num>
  <w:num w:numId="10" w16cid:durableId="186257746">
    <w:abstractNumId w:val="10"/>
  </w:num>
  <w:num w:numId="11" w16cid:durableId="1822382758">
    <w:abstractNumId w:val="11"/>
  </w:num>
  <w:num w:numId="12" w16cid:durableId="753433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1F3B"/>
    <w:rsid w:val="00011DE0"/>
    <w:rsid w:val="00034616"/>
    <w:rsid w:val="0004580A"/>
    <w:rsid w:val="0006063C"/>
    <w:rsid w:val="00063514"/>
    <w:rsid w:val="0007318D"/>
    <w:rsid w:val="000E7BAE"/>
    <w:rsid w:val="0015074B"/>
    <w:rsid w:val="00156483"/>
    <w:rsid w:val="00162FFD"/>
    <w:rsid w:val="00195F27"/>
    <w:rsid w:val="001A7005"/>
    <w:rsid w:val="001B644A"/>
    <w:rsid w:val="001F2673"/>
    <w:rsid w:val="00246755"/>
    <w:rsid w:val="0029639D"/>
    <w:rsid w:val="002D7A45"/>
    <w:rsid w:val="002F6565"/>
    <w:rsid w:val="00326F90"/>
    <w:rsid w:val="00346994"/>
    <w:rsid w:val="0040251F"/>
    <w:rsid w:val="0045381B"/>
    <w:rsid w:val="0048732D"/>
    <w:rsid w:val="004C41C3"/>
    <w:rsid w:val="004E4822"/>
    <w:rsid w:val="0050707C"/>
    <w:rsid w:val="0053007D"/>
    <w:rsid w:val="00555FF8"/>
    <w:rsid w:val="0056459B"/>
    <w:rsid w:val="0059443E"/>
    <w:rsid w:val="00594696"/>
    <w:rsid w:val="00696D4A"/>
    <w:rsid w:val="007718F6"/>
    <w:rsid w:val="007958E1"/>
    <w:rsid w:val="00821461"/>
    <w:rsid w:val="00825B24"/>
    <w:rsid w:val="00867D45"/>
    <w:rsid w:val="0089041E"/>
    <w:rsid w:val="00905722"/>
    <w:rsid w:val="00915E5F"/>
    <w:rsid w:val="00946D76"/>
    <w:rsid w:val="00955A63"/>
    <w:rsid w:val="0098229A"/>
    <w:rsid w:val="009A79D5"/>
    <w:rsid w:val="00A02EB8"/>
    <w:rsid w:val="00A15CAF"/>
    <w:rsid w:val="00A51415"/>
    <w:rsid w:val="00A577C6"/>
    <w:rsid w:val="00A85925"/>
    <w:rsid w:val="00AA1D8D"/>
    <w:rsid w:val="00AA262D"/>
    <w:rsid w:val="00AF6DC9"/>
    <w:rsid w:val="00B47730"/>
    <w:rsid w:val="00BE0673"/>
    <w:rsid w:val="00BF785E"/>
    <w:rsid w:val="00C12DCE"/>
    <w:rsid w:val="00C24948"/>
    <w:rsid w:val="00C46305"/>
    <w:rsid w:val="00CA2F5D"/>
    <w:rsid w:val="00CB0664"/>
    <w:rsid w:val="00CD759D"/>
    <w:rsid w:val="00CE10FA"/>
    <w:rsid w:val="00CF03EF"/>
    <w:rsid w:val="00CF2691"/>
    <w:rsid w:val="00D35B88"/>
    <w:rsid w:val="00DB57C6"/>
    <w:rsid w:val="00DB764A"/>
    <w:rsid w:val="00E27B4C"/>
    <w:rsid w:val="00E446C8"/>
    <w:rsid w:val="00E83359"/>
    <w:rsid w:val="00F02FEB"/>
    <w:rsid w:val="00F12D71"/>
    <w:rsid w:val="00F62A0B"/>
    <w:rsid w:val="00F80F0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2997B7"/>
  <w14:defaultImageDpi w14:val="300"/>
  <w15:docId w15:val="{0DCC871B-38DC-5249-A6D5-C75E3563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35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93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FC693F"/>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spacing w:after="200" w:line="276" w:lineRule="auto"/>
      <w:ind w:left="720"/>
      <w:contextualSpacing/>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AA1D8D"/>
    <w:pPr>
      <w:spacing w:after="120" w:line="276" w:lineRule="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rPr>
      <w:rFonts w:asciiTheme="minorHAnsi" w:eastAsiaTheme="minorEastAsia" w:hAnsiTheme="minorHAnsi" w:cstheme="minorBidi"/>
      <w:sz w:val="22"/>
      <w:szCs w:val="22"/>
    </w:r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line="276"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spacing w:after="200" w:line="276" w:lineRule="auto"/>
      <w:ind w:left="360" w:hanging="360"/>
      <w:contextualSpacing/>
    </w:pPr>
    <w:rPr>
      <w:rFonts w:asciiTheme="minorHAnsi" w:eastAsiaTheme="minorEastAsia" w:hAnsiTheme="minorHAnsi" w:cstheme="minorBidi"/>
      <w:sz w:val="22"/>
      <w:szCs w:val="22"/>
    </w:rPr>
  </w:style>
  <w:style w:type="paragraph" w:styleId="List2">
    <w:name w:val="List 2"/>
    <w:basedOn w:val="Normal"/>
    <w:uiPriority w:val="99"/>
    <w:unhideWhenUsed/>
    <w:rsid w:val="00326F90"/>
    <w:pPr>
      <w:spacing w:after="200" w:line="276" w:lineRule="auto"/>
      <w:ind w:left="720" w:hanging="360"/>
      <w:contextualSpacing/>
    </w:pPr>
    <w:rPr>
      <w:rFonts w:asciiTheme="minorHAnsi" w:eastAsiaTheme="minorEastAsia" w:hAnsiTheme="minorHAnsi" w:cstheme="minorBidi"/>
      <w:sz w:val="22"/>
      <w:szCs w:val="22"/>
    </w:rPr>
  </w:style>
  <w:style w:type="paragraph" w:styleId="List3">
    <w:name w:val="List 3"/>
    <w:basedOn w:val="Normal"/>
    <w:uiPriority w:val="99"/>
    <w:unhideWhenUsed/>
    <w:rsid w:val="00326F90"/>
    <w:pPr>
      <w:spacing w:after="200" w:line="276" w:lineRule="auto"/>
      <w:ind w:left="1080" w:hanging="360"/>
      <w:contextualSpacing/>
    </w:pPr>
    <w:rPr>
      <w:rFonts w:asciiTheme="minorHAnsi" w:eastAsiaTheme="minorEastAsia" w:hAnsiTheme="minorHAnsi" w:cstheme="minorBidi"/>
      <w:sz w:val="22"/>
      <w:szCs w:val="22"/>
    </w:rPr>
  </w:style>
  <w:style w:type="paragraph" w:styleId="ListBullet">
    <w:name w:val="List Bullet"/>
    <w:basedOn w:val="Normal"/>
    <w:uiPriority w:val="99"/>
    <w:unhideWhenUsed/>
    <w:rsid w:val="00326F90"/>
    <w:pPr>
      <w:numPr>
        <w:numId w:val="1"/>
      </w:numPr>
      <w:spacing w:after="200" w:line="276" w:lineRule="auto"/>
      <w:contextualSpacing/>
    </w:pPr>
    <w:rPr>
      <w:rFonts w:asciiTheme="minorHAnsi" w:eastAsiaTheme="minorEastAsia" w:hAnsiTheme="minorHAnsi" w:cstheme="minorBidi"/>
      <w:sz w:val="22"/>
      <w:szCs w:val="22"/>
    </w:rPr>
  </w:style>
  <w:style w:type="paragraph" w:styleId="ListBullet2">
    <w:name w:val="List Bullet 2"/>
    <w:basedOn w:val="Normal"/>
    <w:uiPriority w:val="99"/>
    <w:unhideWhenUsed/>
    <w:rsid w:val="00326F90"/>
    <w:pPr>
      <w:numPr>
        <w:numId w:val="2"/>
      </w:numPr>
      <w:spacing w:after="200" w:line="276" w:lineRule="auto"/>
      <w:contextualSpacing/>
    </w:pPr>
    <w:rPr>
      <w:rFonts w:asciiTheme="minorHAnsi" w:eastAsiaTheme="minorEastAsia" w:hAnsiTheme="minorHAnsi" w:cstheme="minorBidi"/>
      <w:sz w:val="22"/>
      <w:szCs w:val="22"/>
    </w:rPr>
  </w:style>
  <w:style w:type="paragraph" w:styleId="ListBullet3">
    <w:name w:val="List Bullet 3"/>
    <w:basedOn w:val="Normal"/>
    <w:uiPriority w:val="99"/>
    <w:unhideWhenUsed/>
    <w:rsid w:val="00326F90"/>
    <w:pPr>
      <w:numPr>
        <w:numId w:val="3"/>
      </w:numPr>
      <w:spacing w:after="200" w:line="276" w:lineRule="auto"/>
      <w:contextualSpacing/>
    </w:pPr>
    <w:rPr>
      <w:rFonts w:asciiTheme="minorHAnsi" w:eastAsiaTheme="minorEastAsia" w:hAnsiTheme="minorHAnsi" w:cstheme="minorBidi"/>
      <w:sz w:val="22"/>
      <w:szCs w:val="22"/>
    </w:rPr>
  </w:style>
  <w:style w:type="paragraph" w:styleId="ListNumber">
    <w:name w:val="List Number"/>
    <w:basedOn w:val="Normal"/>
    <w:uiPriority w:val="99"/>
    <w:unhideWhenUsed/>
    <w:rsid w:val="00326F90"/>
    <w:pPr>
      <w:numPr>
        <w:numId w:val="5"/>
      </w:numPr>
      <w:spacing w:after="200" w:line="276" w:lineRule="auto"/>
      <w:contextualSpacing/>
    </w:pPr>
    <w:rPr>
      <w:rFonts w:asciiTheme="minorHAnsi" w:eastAsiaTheme="minorEastAsia" w:hAnsiTheme="minorHAnsi" w:cstheme="minorBidi"/>
      <w:sz w:val="22"/>
      <w:szCs w:val="22"/>
    </w:rPr>
  </w:style>
  <w:style w:type="paragraph" w:styleId="ListNumber2">
    <w:name w:val="List Number 2"/>
    <w:basedOn w:val="Normal"/>
    <w:uiPriority w:val="99"/>
    <w:unhideWhenUsed/>
    <w:rsid w:val="0029639D"/>
    <w:pPr>
      <w:numPr>
        <w:numId w:val="6"/>
      </w:numPr>
      <w:spacing w:after="200" w:line="276" w:lineRule="auto"/>
      <w:contextualSpacing/>
    </w:pPr>
    <w:rPr>
      <w:rFonts w:asciiTheme="minorHAnsi" w:eastAsiaTheme="minorEastAsia" w:hAnsiTheme="minorHAnsi" w:cstheme="minorBidi"/>
      <w:sz w:val="22"/>
      <w:szCs w:val="22"/>
    </w:rPr>
  </w:style>
  <w:style w:type="paragraph" w:styleId="ListNumber3">
    <w:name w:val="List Number 3"/>
    <w:basedOn w:val="Normal"/>
    <w:uiPriority w:val="99"/>
    <w:unhideWhenUsed/>
    <w:rsid w:val="0029639D"/>
    <w:pPr>
      <w:numPr>
        <w:numId w:val="7"/>
      </w:numPr>
      <w:spacing w:after="200" w:line="276" w:lineRule="auto"/>
      <w:contextualSpacing/>
    </w:pPr>
    <w:rPr>
      <w:rFonts w:asciiTheme="minorHAnsi" w:eastAsiaTheme="minorEastAsia" w:hAnsiTheme="minorHAnsi" w:cstheme="minorBidi"/>
      <w:sz w:val="22"/>
      <w:szCs w:val="22"/>
    </w:rPr>
  </w:style>
  <w:style w:type="paragraph" w:styleId="ListContinue">
    <w:name w:val="List Continue"/>
    <w:basedOn w:val="Normal"/>
    <w:uiPriority w:val="99"/>
    <w:unhideWhenUsed/>
    <w:rsid w:val="0029639D"/>
    <w:pPr>
      <w:spacing w:after="120" w:line="276" w:lineRule="auto"/>
      <w:ind w:left="360"/>
      <w:contextualSpacing/>
    </w:pPr>
    <w:rPr>
      <w:rFonts w:asciiTheme="minorHAnsi" w:eastAsiaTheme="minorEastAsia" w:hAnsiTheme="minorHAnsi" w:cstheme="minorBidi"/>
      <w:sz w:val="22"/>
      <w:szCs w:val="22"/>
    </w:rPr>
  </w:style>
  <w:style w:type="paragraph" w:styleId="ListContinue2">
    <w:name w:val="List Continue 2"/>
    <w:basedOn w:val="Normal"/>
    <w:uiPriority w:val="99"/>
    <w:unhideWhenUsed/>
    <w:rsid w:val="0029639D"/>
    <w:pPr>
      <w:spacing w:after="120" w:line="276" w:lineRule="auto"/>
      <w:ind w:left="720"/>
      <w:contextualSpacing/>
    </w:pPr>
    <w:rPr>
      <w:rFonts w:asciiTheme="minorHAnsi" w:eastAsiaTheme="minorEastAsia" w:hAnsiTheme="minorHAnsi" w:cstheme="minorBidi"/>
      <w:sz w:val="22"/>
      <w:szCs w:val="22"/>
    </w:rPr>
  </w:style>
  <w:style w:type="paragraph" w:styleId="ListContinue3">
    <w:name w:val="List Continue 3"/>
    <w:basedOn w:val="Normal"/>
    <w:uiPriority w:val="99"/>
    <w:unhideWhenUsed/>
    <w:rsid w:val="0029639D"/>
    <w:pPr>
      <w:spacing w:after="120" w:line="276" w:lineRule="auto"/>
      <w:ind w:left="1080"/>
      <w:contextualSpacing/>
    </w:pPr>
    <w:rPr>
      <w:rFonts w:asciiTheme="minorHAnsi" w:eastAsiaTheme="minorEastAsia" w:hAnsiTheme="minorHAnsi" w:cstheme="minorBidi"/>
      <w:sz w:val="22"/>
      <w:szCs w:val="22"/>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LineNumber">
    <w:name w:val="line number"/>
    <w:basedOn w:val="DefaultParagraphFont"/>
    <w:uiPriority w:val="99"/>
    <w:semiHidden/>
    <w:unhideWhenUsed/>
    <w:rsid w:val="00E446C8"/>
  </w:style>
  <w:style w:type="character" w:styleId="Hyperlink">
    <w:name w:val="Hyperlink"/>
    <w:basedOn w:val="DefaultParagraphFont"/>
    <w:uiPriority w:val="99"/>
    <w:unhideWhenUsed/>
    <w:rsid w:val="00E446C8"/>
    <w:rPr>
      <w:color w:val="0000FF" w:themeColor="hyperlink"/>
      <w:u w:val="single"/>
    </w:rPr>
  </w:style>
  <w:style w:type="character" w:styleId="UnresolvedMention">
    <w:name w:val="Unresolved Mention"/>
    <w:basedOn w:val="DefaultParagraphFont"/>
    <w:uiPriority w:val="99"/>
    <w:semiHidden/>
    <w:unhideWhenUsed/>
    <w:rsid w:val="00E446C8"/>
    <w:rPr>
      <w:color w:val="605E5C"/>
      <w:shd w:val="clear" w:color="auto" w:fill="E1DFDD"/>
    </w:rPr>
  </w:style>
  <w:style w:type="character" w:styleId="PageNumber">
    <w:name w:val="page number"/>
    <w:basedOn w:val="DefaultParagraphFont"/>
    <w:uiPriority w:val="99"/>
    <w:semiHidden/>
    <w:unhideWhenUsed/>
    <w:rsid w:val="0004580A"/>
  </w:style>
  <w:style w:type="paragraph" w:customStyle="1" w:styleId="TableCaptionCentred">
    <w:name w:val="Table.Caption.Centred"/>
    <w:basedOn w:val="Normal"/>
    <w:autoRedefine/>
    <w:rsid w:val="00A85925"/>
    <w:pPr>
      <w:spacing w:after="120"/>
      <w:jc w:val="center"/>
    </w:pPr>
    <w:rPr>
      <w:rFonts w:ascii="Times" w:eastAsiaTheme="minorEastAsia" w:hAnsi="Times"/>
      <w:color w:val="000000"/>
      <w:sz w:val="22"/>
      <w:szCs w:val="22"/>
      <w:lang w:val="en-GB"/>
    </w:rPr>
  </w:style>
  <w:style w:type="paragraph" w:customStyle="1" w:styleId="BodyChar">
    <w:name w:val="Body Char"/>
    <w:link w:val="BodyCharChar"/>
    <w:rsid w:val="0048732D"/>
    <w:pPr>
      <w:tabs>
        <w:tab w:val="left" w:pos="567"/>
      </w:tabs>
      <w:spacing w:after="0" w:line="240" w:lineRule="auto"/>
      <w:jc w:val="both"/>
    </w:pPr>
    <w:rPr>
      <w:rFonts w:ascii="Times" w:hAnsi="Times" w:cs="Times New Roman"/>
      <w:color w:val="000000"/>
      <w:lang w:val="en-GB"/>
    </w:rPr>
  </w:style>
  <w:style w:type="character" w:customStyle="1" w:styleId="BodyCharChar">
    <w:name w:val="Body Char Char"/>
    <w:link w:val="BodyChar"/>
    <w:rsid w:val="0048732D"/>
    <w:rPr>
      <w:rFonts w:ascii="Times" w:hAnsi="Times" w:cs="Times New Roman"/>
      <w:color w:val="000000"/>
      <w:lang w:val="en-GB"/>
    </w:rPr>
  </w:style>
  <w:style w:type="paragraph" w:customStyle="1" w:styleId="FigureCaption">
    <w:name w:val="FigureCaption"/>
    <w:rsid w:val="0048732D"/>
    <w:pPr>
      <w:spacing w:before="170" w:after="0" w:line="240" w:lineRule="auto"/>
      <w:ind w:left="28"/>
      <w:jc w:val="center"/>
    </w:pPr>
    <w:rPr>
      <w:rFonts w:ascii="Times"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127256">
      <w:bodyDiv w:val="1"/>
      <w:marLeft w:val="0"/>
      <w:marRight w:val="0"/>
      <w:marTop w:val="0"/>
      <w:marBottom w:val="0"/>
      <w:divBdr>
        <w:top w:val="none" w:sz="0" w:space="0" w:color="auto"/>
        <w:left w:val="none" w:sz="0" w:space="0" w:color="auto"/>
        <w:bottom w:val="none" w:sz="0" w:space="0" w:color="auto"/>
        <w:right w:val="none" w:sz="0" w:space="0" w:color="auto"/>
      </w:divBdr>
    </w:div>
    <w:div w:id="1917350351">
      <w:bodyDiv w:val="1"/>
      <w:marLeft w:val="0"/>
      <w:marRight w:val="0"/>
      <w:marTop w:val="0"/>
      <w:marBottom w:val="0"/>
      <w:divBdr>
        <w:top w:val="none" w:sz="0" w:space="0" w:color="auto"/>
        <w:left w:val="none" w:sz="0" w:space="0" w:color="auto"/>
        <w:bottom w:val="none" w:sz="0" w:space="0" w:color="auto"/>
        <w:right w:val="none" w:sz="0" w:space="0" w:color="auto"/>
      </w:divBdr>
    </w:div>
    <w:div w:id="2048025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doe@xyz.edu" TargetMode="External"/><Relationship Id="rId13" Type="http://schemas.openxmlformats.org/officeDocument/2006/relationships/hyperlink" Target="https://doi.org/10.1007/s11270-017-3439-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007/978-3-319-16510-3_5" TargetMode="External"/><Relationship Id="rId2" Type="http://schemas.openxmlformats.org/officeDocument/2006/relationships/numbering" Target="numbering.xml"/><Relationship Id="rId16" Type="http://schemas.openxmlformats.org/officeDocument/2006/relationships/hyperlink" Target="https://doi.org/10.1002/2211-5463.131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i.org/10.1115/OMAE2024-126253"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ane.smith@abc.org" TargetMode="External"/><Relationship Id="rId14" Type="http://schemas.openxmlformats.org/officeDocument/2006/relationships/hyperlink" Target="https://ir.unilag.edu.ng/handle/123456789/53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Hazra, Rasmani</cp:lastModifiedBy>
  <cp:revision>48</cp:revision>
  <dcterms:created xsi:type="dcterms:W3CDTF">2013-12-23T23:15:00Z</dcterms:created>
  <dcterms:modified xsi:type="dcterms:W3CDTF">2025-10-27T11:33:00Z</dcterms:modified>
  <cp:category/>
</cp:coreProperties>
</file>